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EFA88" w14:textId="58A4D6FA" w:rsidR="003212F8" w:rsidRPr="00F67398" w:rsidRDefault="003212F8" w:rsidP="003212F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sidR="00797FD6">
        <w:rPr>
          <w:rFonts w:ascii="Arial" w:hAnsi="Arial"/>
          <w:b/>
          <w:noProof/>
          <w:sz w:val="24"/>
          <w:lang w:val="en-US"/>
        </w:rPr>
        <w:t>10</w:t>
      </w:r>
      <w:r w:rsidR="00580B66">
        <w:rPr>
          <w:rFonts w:ascii="Arial" w:hAnsi="Arial"/>
          <w:b/>
          <w:noProof/>
          <w:sz w:val="24"/>
          <w:lang w:val="en-US"/>
        </w:rPr>
        <w:t>3</w:t>
      </w:r>
      <w:r w:rsidR="00D8261A">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9425CA">
        <w:rPr>
          <w:rFonts w:ascii="Arial" w:hAnsi="Arial"/>
          <w:b/>
          <w:noProof/>
          <w:sz w:val="24"/>
          <w:lang w:val="en-US"/>
        </w:rPr>
        <w:t>R</w:t>
      </w:r>
      <w:r w:rsidRPr="00DA62A8">
        <w:rPr>
          <w:rFonts w:ascii="Arial" w:hAnsi="Arial"/>
          <w:b/>
          <w:noProof/>
          <w:sz w:val="24"/>
          <w:lang w:val="en-US"/>
        </w:rPr>
        <w:t>4-</w:t>
      </w:r>
      <w:r w:rsidR="00107381" w:rsidRPr="00DA62A8">
        <w:rPr>
          <w:rFonts w:ascii="Arial" w:hAnsi="Arial"/>
          <w:b/>
          <w:noProof/>
          <w:sz w:val="24"/>
          <w:lang w:val="en-US"/>
        </w:rPr>
        <w:t>2</w:t>
      </w:r>
      <w:r w:rsidR="001E6F98" w:rsidRPr="00DA62A8">
        <w:rPr>
          <w:rFonts w:ascii="Arial" w:hAnsi="Arial"/>
          <w:b/>
          <w:noProof/>
          <w:sz w:val="24"/>
          <w:lang w:val="en-US"/>
        </w:rPr>
        <w:t>2</w:t>
      </w:r>
      <w:r w:rsidR="009539C7" w:rsidRPr="00DA62A8">
        <w:rPr>
          <w:rFonts w:ascii="Arial" w:hAnsi="Arial"/>
          <w:b/>
          <w:noProof/>
          <w:sz w:val="24"/>
          <w:lang w:val="en-US"/>
        </w:rPr>
        <w:t>0</w:t>
      </w:r>
      <w:r w:rsidR="00355307">
        <w:rPr>
          <w:rFonts w:ascii="Arial" w:hAnsi="Arial"/>
          <w:b/>
          <w:noProof/>
          <w:sz w:val="24"/>
          <w:lang w:val="en-US"/>
        </w:rPr>
        <w:t>9720</w:t>
      </w:r>
    </w:p>
    <w:p w14:paraId="35ADE6E2" w14:textId="247444AD" w:rsidR="003212F8" w:rsidRDefault="003212F8" w:rsidP="003212F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580B66">
        <w:rPr>
          <w:rFonts w:ascii="Arial" w:hAnsi="Arial"/>
          <w:b/>
          <w:noProof/>
          <w:sz w:val="24"/>
          <w:lang w:val="en-US"/>
        </w:rPr>
        <w:t>May</w:t>
      </w:r>
      <w:r>
        <w:rPr>
          <w:rFonts w:ascii="Arial" w:hAnsi="Arial"/>
          <w:b/>
          <w:noProof/>
          <w:sz w:val="24"/>
          <w:lang w:val="en-US"/>
        </w:rPr>
        <w:t xml:space="preserve"> </w:t>
      </w:r>
      <w:r w:rsidR="00580B66">
        <w:rPr>
          <w:rFonts w:ascii="Arial" w:hAnsi="Arial"/>
          <w:b/>
          <w:noProof/>
          <w:sz w:val="24"/>
          <w:lang w:val="en-US"/>
        </w:rPr>
        <w:t>9</w:t>
      </w:r>
      <w:r w:rsidRPr="00516441">
        <w:rPr>
          <w:rFonts w:ascii="Arial" w:hAnsi="Arial"/>
          <w:b/>
          <w:noProof/>
          <w:sz w:val="24"/>
          <w:lang w:val="en-US"/>
        </w:rPr>
        <w:t xml:space="preserve"> – </w:t>
      </w:r>
      <w:r w:rsidR="00580B66">
        <w:rPr>
          <w:rFonts w:ascii="Arial" w:hAnsi="Arial"/>
          <w:b/>
          <w:noProof/>
          <w:sz w:val="24"/>
          <w:lang w:val="en-US"/>
        </w:rPr>
        <w:t>20</w:t>
      </w:r>
      <w:r w:rsidR="001E6F98">
        <w:rPr>
          <w:rFonts w:ascii="Arial" w:hAnsi="Arial"/>
          <w:b/>
          <w:noProof/>
          <w:sz w:val="24"/>
          <w:lang w:val="en-US"/>
        </w:rPr>
        <w:t>,</w:t>
      </w:r>
      <w:r w:rsidRPr="00516441">
        <w:rPr>
          <w:rFonts w:ascii="Arial" w:hAnsi="Arial"/>
          <w:b/>
          <w:noProof/>
          <w:sz w:val="24"/>
          <w:lang w:val="en-US"/>
        </w:rPr>
        <w:t xml:space="preserve"> 202</w:t>
      </w:r>
      <w:r w:rsidR="001E6F98">
        <w:rPr>
          <w:rFonts w:ascii="Arial" w:hAnsi="Arial"/>
          <w:b/>
          <w:noProof/>
          <w:sz w:val="24"/>
          <w:lang w:val="en-US"/>
        </w:rPr>
        <w:t>2</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0CD08B72"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8F1ADC">
        <w:rPr>
          <w:rFonts w:ascii="Arial" w:hAnsi="Arial" w:cs="Arial"/>
          <w:b/>
          <w:lang w:val="en-US"/>
        </w:rPr>
        <w:t>Discussion on range of power control parameters</w:t>
      </w:r>
    </w:p>
    <w:p w14:paraId="0AD5CA5A" w14:textId="3E4E8F96"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580B66">
        <w:rPr>
          <w:rFonts w:ascii="Arial" w:hAnsi="Arial" w:cs="Arial"/>
          <w:lang w:val="en-US"/>
        </w:rPr>
        <w:t>9</w:t>
      </w:r>
      <w:r w:rsidR="008F6E57">
        <w:rPr>
          <w:rFonts w:ascii="Arial" w:hAnsi="Arial" w:cs="Arial"/>
          <w:lang w:val="en-US"/>
        </w:rPr>
        <w:t>.</w:t>
      </w:r>
      <w:r w:rsidR="008B3F01">
        <w:rPr>
          <w:rFonts w:ascii="Arial" w:hAnsi="Arial" w:cs="Arial"/>
          <w:lang w:val="en-US"/>
        </w:rPr>
        <w:t>16.2</w:t>
      </w:r>
    </w:p>
    <w:p w14:paraId="46C090F9" w14:textId="1C58A850"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8B3F01">
        <w:rPr>
          <w:rFonts w:ascii="Arial" w:hAnsi="Arial" w:cs="Arial"/>
          <w:bCs/>
          <w:lang w:val="en-US"/>
        </w:rPr>
        <w:t>Discussion</w:t>
      </w:r>
    </w:p>
    <w:p w14:paraId="155F2F2C" w14:textId="77777777" w:rsidR="00904C26" w:rsidRDefault="00904C26" w:rsidP="00C86C2A">
      <w:pPr>
        <w:pStyle w:val="Heading1"/>
        <w:numPr>
          <w:ilvl w:val="0"/>
          <w:numId w:val="14"/>
        </w:numPr>
        <w:rPr>
          <w:lang w:val="en-US"/>
        </w:rPr>
      </w:pPr>
      <w:r w:rsidRPr="00A51BCB">
        <w:rPr>
          <w:lang w:val="en-US"/>
        </w:rPr>
        <w:t>Introduction</w:t>
      </w:r>
    </w:p>
    <w:p w14:paraId="51BE18FF" w14:textId="067525D9" w:rsidR="00533692" w:rsidRPr="00EB1018" w:rsidRDefault="008B3F01" w:rsidP="0068418A">
      <w:pPr>
        <w:rPr>
          <w:i/>
          <w:sz w:val="18"/>
          <w:lang w:val="en-US"/>
        </w:rPr>
      </w:pPr>
      <w:r>
        <w:rPr>
          <w:lang w:val="en-US"/>
        </w:rPr>
        <w:t>RAN1 has sent on LS to RAN4 asking further questions on power control parameters in [1]. In this contribution we discuss the answers to RAN1 questions.</w:t>
      </w:r>
    </w:p>
    <w:p w14:paraId="728F8C07" w14:textId="42D2E81D" w:rsidR="00533692" w:rsidRDefault="00150D4C" w:rsidP="00C86C2A">
      <w:pPr>
        <w:pStyle w:val="Heading1"/>
        <w:numPr>
          <w:ilvl w:val="0"/>
          <w:numId w:val="14"/>
        </w:numPr>
        <w:rPr>
          <w:lang w:val="en-US"/>
        </w:rPr>
      </w:pPr>
      <w:r>
        <w:rPr>
          <w:lang w:val="en-US"/>
        </w:rPr>
        <w:t>Discussion</w:t>
      </w:r>
    </w:p>
    <w:p w14:paraId="196A139D" w14:textId="301F67A5" w:rsidR="00DE6E09" w:rsidRDefault="008B3F01">
      <w:pPr>
        <w:rPr>
          <w:color w:val="000000" w:themeColor="text1"/>
          <w:lang w:val="en-US"/>
        </w:rPr>
      </w:pPr>
      <w:r w:rsidRPr="008B3F01">
        <w:rPr>
          <w:noProof/>
          <w:color w:val="000000" w:themeColor="text1"/>
          <w:lang w:val="en-US"/>
        </w:rPr>
        <mc:AlternateContent>
          <mc:Choice Requires="wps">
            <w:drawing>
              <wp:anchor distT="45720" distB="45720" distL="114300" distR="114300" simplePos="0" relativeHeight="251659264" behindDoc="0" locked="0" layoutInCell="1" allowOverlap="1" wp14:anchorId="516E7503" wp14:editId="3A2791BC">
                <wp:simplePos x="0" y="0"/>
                <wp:positionH relativeFrom="column">
                  <wp:posOffset>13799</wp:posOffset>
                </wp:positionH>
                <wp:positionV relativeFrom="paragraph">
                  <wp:posOffset>290811</wp:posOffset>
                </wp:positionV>
                <wp:extent cx="6209665" cy="3056890"/>
                <wp:effectExtent l="0" t="0" r="19685"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665" cy="3056890"/>
                        </a:xfrm>
                        <a:prstGeom prst="rect">
                          <a:avLst/>
                        </a:prstGeom>
                        <a:solidFill>
                          <a:srgbClr val="FFFFFF"/>
                        </a:solidFill>
                        <a:ln w="9525">
                          <a:solidFill>
                            <a:srgbClr val="000000"/>
                          </a:solidFill>
                          <a:miter lim="800000"/>
                          <a:headEnd/>
                          <a:tailEnd/>
                        </a:ln>
                      </wps:spPr>
                      <wps:txbx>
                        <w:txbxContent>
                          <w:p w14:paraId="037F2679" w14:textId="77777777" w:rsidR="008B3F01" w:rsidRDefault="008B3F01" w:rsidP="008B3F01">
                            <w:pPr>
                              <w:pStyle w:val="BodyText"/>
                              <w:spacing w:after="120"/>
                              <w:jc w:val="both"/>
                              <w:rPr>
                                <w:lang w:eastAsia="ko-KR"/>
                              </w:rPr>
                            </w:pPr>
                            <w:r>
                              <w:rPr>
                                <w:lang w:eastAsia="ko-KR"/>
                              </w:rPr>
                              <w:t>On the other hand, RAN1 would like to seek further guidance from RAN4 on the following questions for DL TX power adjustment, provided when the IAB-MT is the only recipient and the DL TX power is constant within a slot:</w:t>
                            </w:r>
                          </w:p>
                          <w:p w14:paraId="3FF3ACA6" w14:textId="77777777" w:rsidR="008B3F01" w:rsidRDefault="008B3F01" w:rsidP="008B3F01">
                            <w:pPr>
                              <w:pStyle w:val="BodyText"/>
                              <w:spacing w:after="120"/>
                              <w:ind w:leftChars="100" w:left="200"/>
                              <w:jc w:val="both"/>
                              <w:rPr>
                                <w:lang w:eastAsia="ko-KR"/>
                              </w:rPr>
                            </w:pPr>
                            <w:r>
                              <w:rPr>
                                <w:lang w:eastAsia="ko-KR"/>
                              </w:rPr>
                              <w:t>- What is the impact of IAB-MT/DU if the DL TX power of parent IAB-DU causes basic PSD difference at the IAB node to be exceeded?</w:t>
                            </w:r>
                          </w:p>
                          <w:p w14:paraId="02333B18" w14:textId="77777777" w:rsidR="008B3F01" w:rsidRDefault="008B3F01" w:rsidP="008B3F01">
                            <w:pPr>
                              <w:pStyle w:val="BodyText"/>
                              <w:spacing w:after="120"/>
                              <w:ind w:leftChars="100" w:left="200"/>
                              <w:jc w:val="both"/>
                              <w:rPr>
                                <w:lang w:eastAsia="ko-KR"/>
                              </w:rPr>
                            </w:pPr>
                            <w:r>
                              <w:rPr>
                                <w:lang w:eastAsia="ko-KR"/>
                              </w:rPr>
                              <w:t>- What should be considered for the range of DL TX adjustment (at the parent-node)?</w:t>
                            </w:r>
                          </w:p>
                          <w:p w14:paraId="026EB295" w14:textId="77777777" w:rsidR="008B3F01" w:rsidRDefault="008B3F01" w:rsidP="008B3F01">
                            <w:pPr>
                              <w:pStyle w:val="BodyText"/>
                              <w:spacing w:after="120"/>
                              <w:ind w:leftChars="100" w:left="200"/>
                              <w:jc w:val="both"/>
                              <w:rPr>
                                <w:lang w:eastAsia="ko-KR"/>
                              </w:rPr>
                            </w:pPr>
                            <w:r>
                              <w:rPr>
                                <w:lang w:eastAsia="ko-KR"/>
                              </w:rPr>
                              <w:t>- Whether guard symbols are required to support a DL TX power adjustment?</w:t>
                            </w:r>
                          </w:p>
                          <w:p w14:paraId="6BC5ADB5" w14:textId="77777777" w:rsidR="008B3F01" w:rsidRDefault="008B3F01" w:rsidP="008B3F01">
                            <w:pPr>
                              <w:pStyle w:val="BodyText"/>
                              <w:jc w:val="both"/>
                              <w:rPr>
                                <w:lang w:eastAsia="ko-KR"/>
                              </w:rPr>
                            </w:pPr>
                          </w:p>
                          <w:p w14:paraId="19A5F6B5" w14:textId="77777777" w:rsidR="008B3F01" w:rsidRDefault="008B3F01" w:rsidP="008B3F01">
                            <w:pPr>
                              <w:pStyle w:val="BodyText"/>
                              <w:jc w:val="both"/>
                              <w:rPr>
                                <w:lang w:eastAsia="ko-KR"/>
                              </w:rPr>
                            </w:pPr>
                            <w:r>
                              <w:rPr>
                                <w:lang w:eastAsia="ko-KR"/>
                              </w:rPr>
                              <w:t>It is noted that RAN1 made the following agreements in RAN1#107-e which can be taken into consideration in RAN4 for the above questions:</w:t>
                            </w:r>
                          </w:p>
                          <w:p w14:paraId="0EF636A1" w14:textId="77777777" w:rsidR="008B3F01" w:rsidRDefault="008B3F01" w:rsidP="008B3F01">
                            <w:pPr>
                              <w:pStyle w:val="BodyText"/>
                              <w:jc w:val="both"/>
                              <w:rPr>
                                <w:lang w:eastAsia="ko-KR"/>
                              </w:rPr>
                            </w:pPr>
                          </w:p>
                          <w:p w14:paraId="169A6CCC" w14:textId="77777777" w:rsidR="008B3F01" w:rsidRDefault="008B3F01" w:rsidP="008B3F01">
                            <w:pPr>
                              <w:pStyle w:val="xmsonormal"/>
                              <w:rPr>
                                <w:rFonts w:ascii="Times" w:eastAsia="Malgun Gothic" w:hAnsi="Times"/>
                                <w:sz w:val="20"/>
                                <w:szCs w:val="20"/>
                                <w:lang w:eastAsia="ko-KR"/>
                              </w:rPr>
                            </w:pPr>
                            <w:r>
                              <w:rPr>
                                <w:rStyle w:val="Strong"/>
                                <w:rFonts w:ascii="Times" w:hAnsi="Times"/>
                                <w:color w:val="000000"/>
                                <w:sz w:val="20"/>
                                <w:szCs w:val="20"/>
                                <w:highlight w:val="green"/>
                              </w:rPr>
                              <w:t>Agreement</w:t>
                            </w:r>
                          </w:p>
                          <w:p w14:paraId="3D4C8B54" w14:textId="77777777" w:rsidR="008B3F01" w:rsidRDefault="008B3F01" w:rsidP="008B3F01">
                            <w:pPr>
                              <w:pStyle w:val="xmsonormal"/>
                              <w:spacing w:after="120"/>
                              <w:rPr>
                                <w:rFonts w:ascii="Times" w:hAnsi="Times"/>
                                <w:b/>
                                <w:sz w:val="20"/>
                                <w:szCs w:val="20"/>
                              </w:rPr>
                            </w:pPr>
                            <w:r>
                              <w:rPr>
                                <w:rStyle w:val="Strong"/>
                                <w:rFonts w:ascii="Times" w:hAnsi="Times"/>
                                <w:b w:val="0"/>
                                <w:sz w:val="20"/>
                                <w:szCs w:val="20"/>
                              </w:rPr>
                              <w:t>The provided DL TX power adjustment is applied only to PDSCH and its associated DMRS and PTRS.</w:t>
                            </w:r>
                          </w:p>
                          <w:p w14:paraId="3C89D85A" w14:textId="77777777" w:rsidR="008B3F01" w:rsidRDefault="008B3F01" w:rsidP="008B3F01">
                            <w:pPr>
                              <w:pStyle w:val="xmsonormal"/>
                              <w:rPr>
                                <w:rFonts w:ascii="Times" w:eastAsia="Malgun Gothic" w:hAnsi="Times"/>
                                <w:sz w:val="20"/>
                                <w:szCs w:val="20"/>
                                <w:lang w:eastAsia="ko-KR"/>
                              </w:rPr>
                            </w:pPr>
                            <w:r>
                              <w:rPr>
                                <w:rStyle w:val="Strong"/>
                                <w:rFonts w:ascii="Times" w:hAnsi="Times"/>
                                <w:color w:val="000000"/>
                                <w:sz w:val="20"/>
                                <w:szCs w:val="20"/>
                                <w:highlight w:val="green"/>
                              </w:rPr>
                              <w:t>Agreement</w:t>
                            </w:r>
                          </w:p>
                          <w:p w14:paraId="0F3DCF70" w14:textId="77777777" w:rsidR="008B3F01" w:rsidRDefault="008B3F01" w:rsidP="008B3F01">
                            <w:pPr>
                              <w:pStyle w:val="xmsonormal"/>
                              <w:rPr>
                                <w:rFonts w:ascii="Times" w:hAnsi="Times"/>
                                <w:b/>
                                <w:sz w:val="20"/>
                                <w:szCs w:val="20"/>
                              </w:rPr>
                            </w:pPr>
                            <w:r>
                              <w:rPr>
                                <w:rStyle w:val="Strong"/>
                                <w:rFonts w:ascii="Times" w:hAnsi="Times"/>
                                <w:b w:val="0"/>
                                <w:sz w:val="20"/>
                                <w:szCs w:val="20"/>
                                <w:lang w:eastAsia="zh-CN"/>
                              </w:rPr>
                              <w:t>The indicated desired/provided DL TX power adjustment is in terms of a relative offset to a CSI-RS</w:t>
                            </w:r>
                            <w:r>
                              <w:rPr>
                                <w:rStyle w:val="Strong"/>
                                <w:rFonts w:ascii="Times" w:hAnsi="Times"/>
                                <w:b w:val="0"/>
                                <w:color w:val="FF0000"/>
                                <w:sz w:val="20"/>
                                <w:szCs w:val="20"/>
                                <w:lang w:eastAsia="zh-CN"/>
                              </w:rPr>
                              <w:t xml:space="preserve"> </w:t>
                            </w:r>
                            <w:r>
                              <w:rPr>
                                <w:rStyle w:val="Strong"/>
                                <w:rFonts w:ascii="Times" w:hAnsi="Times"/>
                                <w:b w:val="0"/>
                                <w:sz w:val="20"/>
                                <w:szCs w:val="20"/>
                                <w:lang w:eastAsia="zh-CN"/>
                              </w:rPr>
                              <w:t>TX power that is RRC configured.</w:t>
                            </w:r>
                          </w:p>
                          <w:p w14:paraId="2DAD5D85" w14:textId="0C0DABA9" w:rsidR="008B3F01" w:rsidRPr="008B3F01" w:rsidRDefault="008B3F01">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516E7503">
                <v:stroke joinstyle="miter"/>
                <v:path gradientshapeok="t" o:connecttype="rect"/>
              </v:shapetype>
              <v:shape id="Text Box 2" style="position:absolute;margin-left:1.1pt;margin-top:22.9pt;width:488.95pt;height:240.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">
                <v:textbox>
                  <w:txbxContent>
                    <w:p w:rsidR="008B3F01" w:rsidP="008B3F01" w:rsidRDefault="008B3F01" w14:paraId="037F2679" w14:textId="77777777">
                      <w:pPr>
                        <w:pStyle w:val="BodyText"/>
                        <w:spacing w:after="120"/>
                        <w:jc w:val="both"/>
                        <w:rPr>
                          <w:lang w:eastAsia="ko-KR"/>
                        </w:rPr>
                      </w:pPr>
                      <w:r>
                        <w:rPr>
                          <w:lang w:eastAsia="ko-KR"/>
                        </w:rPr>
                        <w:t xml:space="preserve">On the other hand, RAN1 would like to seek further guidance from RAN4 on the following questions for DL TX power adjustment, provided when the IAB-MT is the only </w:t>
                      </w:r>
                      <w:proofErr w:type="gramStart"/>
                      <w:r>
                        <w:rPr>
                          <w:lang w:eastAsia="ko-KR"/>
                        </w:rPr>
                        <w:t>recipient</w:t>
                      </w:r>
                      <w:proofErr w:type="gramEnd"/>
                      <w:r>
                        <w:rPr>
                          <w:lang w:eastAsia="ko-KR"/>
                        </w:rPr>
                        <w:t xml:space="preserve"> and the DL TX power is constant within a slot:</w:t>
                      </w:r>
                    </w:p>
                    <w:p w:rsidR="008B3F01" w:rsidP="008B3F01" w:rsidRDefault="008B3F01" w14:paraId="3FF3ACA6" w14:textId="77777777">
                      <w:pPr>
                        <w:pStyle w:val="BodyText"/>
                        <w:spacing w:after="120"/>
                        <w:ind w:left="200" w:leftChars="100"/>
                        <w:jc w:val="both"/>
                        <w:rPr>
                          <w:lang w:eastAsia="ko-KR"/>
                        </w:rPr>
                      </w:pPr>
                      <w:r>
                        <w:rPr>
                          <w:lang w:eastAsia="ko-KR"/>
                        </w:rPr>
                        <w:t>- What is the impact of IAB-MT/DU if the DL TX power of parent IAB-DU causes basic PSD difference at the IAB node to be exceeded?</w:t>
                      </w:r>
                    </w:p>
                    <w:p w:rsidR="008B3F01" w:rsidP="008B3F01" w:rsidRDefault="008B3F01" w14:paraId="02333B18" w14:textId="77777777">
                      <w:pPr>
                        <w:pStyle w:val="BodyText"/>
                        <w:spacing w:after="120"/>
                        <w:ind w:left="200" w:leftChars="100"/>
                        <w:jc w:val="both"/>
                        <w:rPr>
                          <w:lang w:eastAsia="ko-KR"/>
                        </w:rPr>
                      </w:pPr>
                      <w:r>
                        <w:rPr>
                          <w:lang w:eastAsia="ko-KR"/>
                        </w:rPr>
                        <w:t>- What should be considered for the range of DL TX adjustment (at the parent-node)?</w:t>
                      </w:r>
                    </w:p>
                    <w:p w:rsidR="008B3F01" w:rsidP="008B3F01" w:rsidRDefault="008B3F01" w14:paraId="026EB295" w14:textId="77777777">
                      <w:pPr>
                        <w:pStyle w:val="BodyText"/>
                        <w:spacing w:after="120"/>
                        <w:ind w:left="200" w:leftChars="100"/>
                        <w:jc w:val="both"/>
                        <w:rPr>
                          <w:lang w:eastAsia="ko-KR"/>
                        </w:rPr>
                      </w:pPr>
                      <w:r>
                        <w:rPr>
                          <w:lang w:eastAsia="ko-KR"/>
                        </w:rPr>
                        <w:t>- Whether guard symbols are required to support a DL TX power adjustment?</w:t>
                      </w:r>
                    </w:p>
                    <w:p w:rsidR="008B3F01" w:rsidP="008B3F01" w:rsidRDefault="008B3F01" w14:paraId="6BC5ADB5" w14:textId="77777777">
                      <w:pPr>
                        <w:pStyle w:val="BodyText"/>
                        <w:jc w:val="both"/>
                        <w:rPr>
                          <w:lang w:eastAsia="ko-KR"/>
                        </w:rPr>
                      </w:pPr>
                    </w:p>
                    <w:p w:rsidR="008B3F01" w:rsidP="008B3F01" w:rsidRDefault="008B3F01" w14:paraId="19A5F6B5" w14:textId="77777777">
                      <w:pPr>
                        <w:pStyle w:val="BodyText"/>
                        <w:jc w:val="both"/>
                        <w:rPr>
                          <w:lang w:eastAsia="ko-KR"/>
                        </w:rPr>
                      </w:pPr>
                      <w:r>
                        <w:rPr>
                          <w:lang w:eastAsia="ko-KR"/>
                        </w:rPr>
                        <w:t>It is noted that RAN1 made the following agreements in RAN1#107-e which can be taken into consideration in RAN4 for the above questions:</w:t>
                      </w:r>
                    </w:p>
                    <w:p w:rsidR="008B3F01" w:rsidP="008B3F01" w:rsidRDefault="008B3F01" w14:paraId="0EF636A1" w14:textId="77777777">
                      <w:pPr>
                        <w:pStyle w:val="BodyText"/>
                        <w:jc w:val="both"/>
                        <w:rPr>
                          <w:lang w:eastAsia="ko-KR"/>
                        </w:rPr>
                      </w:pPr>
                    </w:p>
                    <w:p w:rsidR="008B3F01" w:rsidP="008B3F01" w:rsidRDefault="008B3F01" w14:paraId="169A6CCC" w14:textId="77777777">
                      <w:pPr>
                        <w:pStyle w:val="xmsonormal"/>
                        <w:rPr>
                          <w:rFonts w:ascii="Times" w:hAnsi="Times" w:eastAsia="Malgun Gothic"/>
                          <w:sz w:val="20"/>
                          <w:szCs w:val="20"/>
                          <w:lang w:eastAsia="ko-KR"/>
                        </w:rPr>
                      </w:pPr>
                      <w:r>
                        <w:rPr>
                          <w:rStyle w:val="Strong"/>
                          <w:rFonts w:ascii="Times" w:hAnsi="Times"/>
                          <w:color w:val="000000"/>
                          <w:sz w:val="20"/>
                          <w:szCs w:val="20"/>
                          <w:highlight w:val="green"/>
                        </w:rPr>
                        <w:t>Agreement</w:t>
                      </w:r>
                    </w:p>
                    <w:p w:rsidR="008B3F01" w:rsidP="008B3F01" w:rsidRDefault="008B3F01" w14:paraId="3D4C8B54" w14:textId="77777777">
                      <w:pPr>
                        <w:pStyle w:val="xmsonormal"/>
                        <w:spacing w:after="120"/>
                        <w:rPr>
                          <w:rFonts w:ascii="Times" w:hAnsi="Times"/>
                          <w:b/>
                          <w:sz w:val="20"/>
                          <w:szCs w:val="20"/>
                        </w:rPr>
                      </w:pPr>
                      <w:r>
                        <w:rPr>
                          <w:rStyle w:val="Strong"/>
                          <w:rFonts w:ascii="Times" w:hAnsi="Times"/>
                          <w:b w:val="0"/>
                          <w:sz w:val="20"/>
                          <w:szCs w:val="20"/>
                        </w:rPr>
                        <w:t>The provided DL TX power adjustment is applied only to PDSCH and its associated DMRS and PTRS.</w:t>
                      </w:r>
                    </w:p>
                    <w:p w:rsidR="008B3F01" w:rsidP="008B3F01" w:rsidRDefault="008B3F01" w14:paraId="3C89D85A" w14:textId="77777777">
                      <w:pPr>
                        <w:pStyle w:val="xmsonormal"/>
                        <w:rPr>
                          <w:rFonts w:ascii="Times" w:hAnsi="Times" w:eastAsia="Malgun Gothic"/>
                          <w:sz w:val="20"/>
                          <w:szCs w:val="20"/>
                          <w:lang w:eastAsia="ko-KR"/>
                        </w:rPr>
                      </w:pPr>
                      <w:r>
                        <w:rPr>
                          <w:rStyle w:val="Strong"/>
                          <w:rFonts w:ascii="Times" w:hAnsi="Times"/>
                          <w:color w:val="000000"/>
                          <w:sz w:val="20"/>
                          <w:szCs w:val="20"/>
                          <w:highlight w:val="green"/>
                        </w:rPr>
                        <w:t>Agreement</w:t>
                      </w:r>
                    </w:p>
                    <w:p w:rsidR="008B3F01" w:rsidP="008B3F01" w:rsidRDefault="008B3F01" w14:paraId="0F3DCF70" w14:textId="77777777">
                      <w:pPr>
                        <w:pStyle w:val="xmsonormal"/>
                        <w:rPr>
                          <w:rFonts w:ascii="Times" w:hAnsi="Times"/>
                          <w:b/>
                          <w:sz w:val="20"/>
                          <w:szCs w:val="20"/>
                        </w:rPr>
                      </w:pPr>
                      <w:r>
                        <w:rPr>
                          <w:rStyle w:val="Strong"/>
                          <w:rFonts w:ascii="Times" w:hAnsi="Times"/>
                          <w:b w:val="0"/>
                          <w:sz w:val="20"/>
                          <w:szCs w:val="20"/>
                          <w:lang w:eastAsia="zh-CN"/>
                        </w:rPr>
                        <w:t>The indicated desired/provided DL TX power adjustment is in terms of a relative offset to a CSI-RS</w:t>
                      </w:r>
                      <w:r>
                        <w:rPr>
                          <w:rStyle w:val="Strong"/>
                          <w:rFonts w:ascii="Times" w:hAnsi="Times"/>
                          <w:b w:val="0"/>
                          <w:color w:val="FF0000"/>
                          <w:sz w:val="20"/>
                          <w:szCs w:val="20"/>
                          <w:lang w:eastAsia="zh-CN"/>
                        </w:rPr>
                        <w:t xml:space="preserve"> </w:t>
                      </w:r>
                      <w:r>
                        <w:rPr>
                          <w:rStyle w:val="Strong"/>
                          <w:rFonts w:ascii="Times" w:hAnsi="Times"/>
                          <w:b w:val="0"/>
                          <w:sz w:val="20"/>
                          <w:szCs w:val="20"/>
                          <w:lang w:eastAsia="zh-CN"/>
                        </w:rPr>
                        <w:t>TX power that is RRC configured.</w:t>
                      </w:r>
                    </w:p>
                    <w:p w:rsidRPr="008B3F01" w:rsidR="008B3F01" w:rsidRDefault="008B3F01" w14:paraId="2DAD5D85" w14:textId="0C0DABA9">
                      <w:pPr>
                        <w:rPr>
                          <w:lang w:val="en-US"/>
                        </w:rPr>
                      </w:pPr>
                    </w:p>
                  </w:txbxContent>
                </v:textbox>
                <w10:wrap type="square"/>
              </v:shape>
            </w:pict>
          </mc:Fallback>
        </mc:AlternateContent>
      </w:r>
      <w:r>
        <w:rPr>
          <w:color w:val="000000" w:themeColor="text1"/>
          <w:lang w:val="en-US"/>
        </w:rPr>
        <w:t>The questions from RAN1 are shown in the excerpt from the LS shown below</w:t>
      </w:r>
    </w:p>
    <w:p w14:paraId="2FFECF7B" w14:textId="6668A0B0" w:rsidR="008B3F01" w:rsidRDefault="008B3F01">
      <w:pPr>
        <w:rPr>
          <w:color w:val="000000" w:themeColor="text1"/>
          <w:lang w:val="en-US"/>
        </w:rPr>
      </w:pPr>
    </w:p>
    <w:p w14:paraId="0F8B0129" w14:textId="7135CCB3" w:rsidR="008B3F01" w:rsidRDefault="008B3F01">
      <w:pPr>
        <w:rPr>
          <w:color w:val="000000" w:themeColor="text1"/>
          <w:lang w:val="en-US"/>
        </w:rPr>
      </w:pPr>
      <w:r>
        <w:rPr>
          <w:color w:val="000000" w:themeColor="text1"/>
          <w:lang w:val="en-US"/>
        </w:rPr>
        <w:t>The term basic PSD difference used by RAN1 is expected to refer to Rx PSD difference that IAB-MT can tolerate, as the term was used similarly in LS sent by RAN4 in [2].</w:t>
      </w:r>
    </w:p>
    <w:p w14:paraId="1A2123C0" w14:textId="520EDB13" w:rsidR="008B3F01" w:rsidRDefault="008B3F01">
      <w:pPr>
        <w:rPr>
          <w:color w:val="000000" w:themeColor="text1"/>
          <w:lang w:val="en-US"/>
        </w:rPr>
      </w:pPr>
      <w:r>
        <w:rPr>
          <w:color w:val="000000" w:themeColor="text1"/>
          <w:lang w:val="en-US"/>
        </w:rPr>
        <w:t>Firstly, it should be noted that RAN4 has not defined minimum requirements for in-channel selectivity for IAB-MT, and any estimation on IAB-MT tolerance for PSD difference is based on IAB-DU minimum requirements</w:t>
      </w:r>
      <w:r w:rsidR="00112CC5">
        <w:rPr>
          <w:color w:val="000000" w:themeColor="text1"/>
          <w:lang w:val="en-US"/>
        </w:rPr>
        <w:t>.</w:t>
      </w:r>
    </w:p>
    <w:p w14:paraId="1EF73A8D" w14:textId="4ADDDBEB" w:rsidR="00112CC5" w:rsidRDefault="00112CC5">
      <w:pPr>
        <w:rPr>
          <w:b/>
          <w:bCs/>
          <w:color w:val="000000" w:themeColor="text1"/>
          <w:lang w:val="en-US"/>
        </w:rPr>
      </w:pPr>
      <w:r w:rsidRPr="00112CC5">
        <w:rPr>
          <w:b/>
          <w:bCs/>
          <w:color w:val="000000" w:themeColor="text1"/>
          <w:lang w:val="en-US"/>
        </w:rPr>
        <w:t>Observation 1: RAN</w:t>
      </w:r>
      <w:r>
        <w:rPr>
          <w:b/>
          <w:bCs/>
          <w:color w:val="000000" w:themeColor="text1"/>
          <w:lang w:val="en-US"/>
        </w:rPr>
        <w:t>4</w:t>
      </w:r>
      <w:r w:rsidRPr="00112CC5">
        <w:rPr>
          <w:b/>
          <w:bCs/>
          <w:color w:val="000000" w:themeColor="text1"/>
          <w:lang w:val="en-US"/>
        </w:rPr>
        <w:t xml:space="preserve"> has not defined in-channel selectivity requirements for IAB-MT.</w:t>
      </w:r>
    </w:p>
    <w:p w14:paraId="3C4AB62A" w14:textId="09BB512D" w:rsidR="00112CC5" w:rsidRDefault="00112CC5">
      <w:pPr>
        <w:rPr>
          <w:color w:val="000000" w:themeColor="text1"/>
          <w:lang w:val="en-US"/>
        </w:rPr>
      </w:pPr>
      <w:r w:rsidRPr="00112CC5">
        <w:rPr>
          <w:color w:val="000000" w:themeColor="text1"/>
          <w:lang w:val="en-US"/>
        </w:rPr>
        <w:t>Secondly</w:t>
      </w:r>
      <w:r>
        <w:rPr>
          <w:color w:val="000000" w:themeColor="text1"/>
          <w:lang w:val="en-US"/>
        </w:rPr>
        <w:t xml:space="preserve">, we should look if the scenario is problematic in real network operation, as there is no need to develop a solution if there is no problem to solve. This relates to the first question from RAN1 on the impact of exceeding the basic PSD difference. </w:t>
      </w:r>
    </w:p>
    <w:p w14:paraId="7225DD52" w14:textId="7F6959C0" w:rsidR="00112CC5" w:rsidRDefault="00112CC5">
      <w:pPr>
        <w:rPr>
          <w:color w:val="000000" w:themeColor="text1"/>
          <w:lang w:val="en-US"/>
        </w:rPr>
      </w:pPr>
      <w:r>
        <w:rPr>
          <w:color w:val="000000" w:themeColor="text1"/>
          <w:lang w:val="en-US"/>
        </w:rPr>
        <w:t>A case where IAB-Node is receiving two signals simultaneously would occur when there is simultaneous reception of signals originating from parent node and child-node or UE. The impacted IAB-Node is itself scheduling the transmissions of child-node(s) and connected UEs</w:t>
      </w:r>
      <w:r w:rsidR="00584535">
        <w:rPr>
          <w:color w:val="000000" w:themeColor="text1"/>
          <w:lang w:val="en-US"/>
        </w:rPr>
        <w:t xml:space="preserve">. Therefore, it is possible for the IAB-Node to resolve the situation by </w:t>
      </w:r>
      <w:r w:rsidR="00584535">
        <w:rPr>
          <w:color w:val="000000" w:themeColor="text1"/>
          <w:lang w:val="en-US"/>
        </w:rPr>
        <w:lastRenderedPageBreak/>
        <w:t xml:space="preserve">means of sending power control commands to child-Node or UE to increase transmit power, adjusting scheduling and/or fall back to case#1 timing. </w:t>
      </w:r>
    </w:p>
    <w:p w14:paraId="6E113F04" w14:textId="02291694" w:rsidR="00584535" w:rsidRPr="00584535" w:rsidRDefault="00584535">
      <w:pPr>
        <w:rPr>
          <w:b/>
          <w:bCs/>
          <w:color w:val="000000" w:themeColor="text1"/>
          <w:lang w:val="en-US"/>
        </w:rPr>
      </w:pPr>
      <w:r w:rsidRPr="00584535">
        <w:rPr>
          <w:b/>
          <w:bCs/>
          <w:color w:val="000000" w:themeColor="text1"/>
          <w:lang w:val="en-US"/>
        </w:rPr>
        <w:t>Observation 2:</w:t>
      </w:r>
      <w:r>
        <w:rPr>
          <w:b/>
          <w:bCs/>
          <w:color w:val="000000" w:themeColor="text1"/>
          <w:lang w:val="en-US"/>
        </w:rPr>
        <w:t xml:space="preserve"> IAB-Node has control of transmit power and scheduling of its child-Nodes, and it can therefore resolve the </w:t>
      </w:r>
      <w:r w:rsidR="00033915">
        <w:rPr>
          <w:b/>
          <w:bCs/>
          <w:color w:val="000000" w:themeColor="text1"/>
          <w:lang w:val="en-US"/>
        </w:rPr>
        <w:t>PSD difference issue by itself when the signals are coming from parent and child-Node/UE.</w:t>
      </w:r>
    </w:p>
    <w:p w14:paraId="3ABA3BF3" w14:textId="2DB99881" w:rsidR="00584535" w:rsidRDefault="00584535">
      <w:pPr>
        <w:rPr>
          <w:color w:val="000000" w:themeColor="text1"/>
          <w:lang w:val="en-US"/>
        </w:rPr>
      </w:pPr>
      <w:r>
        <w:rPr>
          <w:color w:val="000000" w:themeColor="text1"/>
          <w:lang w:val="en-US"/>
        </w:rPr>
        <w:t xml:space="preserve">The only case where IAB-Node might not be able to resolve the situation by itself would be a case where it is receiving signals from multiple parent-Nodes simultaneously. This would mean a dual-connectivity situation. However, RAN4 </w:t>
      </w:r>
      <w:r w:rsidR="00033915">
        <w:rPr>
          <w:color w:val="000000" w:themeColor="text1"/>
          <w:lang w:val="en-US"/>
        </w:rPr>
        <w:t>has not defined RF requirements for dual connectivity and as such this scenario does not need to be addressed.</w:t>
      </w:r>
      <w:r w:rsidR="008F1ADC">
        <w:rPr>
          <w:color w:val="000000" w:themeColor="text1"/>
          <w:lang w:val="en-US"/>
        </w:rPr>
        <w:t xml:space="preserve"> </w:t>
      </w:r>
    </w:p>
    <w:p w14:paraId="3312D47F" w14:textId="280F2661" w:rsidR="00033915" w:rsidRPr="00033915" w:rsidRDefault="00033915">
      <w:pPr>
        <w:rPr>
          <w:b/>
          <w:bCs/>
          <w:color w:val="000000" w:themeColor="text1"/>
          <w:lang w:val="en-US"/>
        </w:rPr>
      </w:pPr>
      <w:r w:rsidRPr="498DE2DB">
        <w:rPr>
          <w:b/>
          <w:bCs/>
          <w:color w:val="000000" w:themeColor="text1"/>
          <w:lang w:val="en-US"/>
        </w:rPr>
        <w:t>Observation 3: RAN4 has not defined RF requirements for dual connectivity scenarios and therefore simultaneous reception from multiple parent-Nodes is out of scope of rel-17 in RAN4.</w:t>
      </w:r>
    </w:p>
    <w:p w14:paraId="07A5217A" w14:textId="0FC1D0DD" w:rsidR="00584535" w:rsidRDefault="00033915">
      <w:pPr>
        <w:rPr>
          <w:color w:val="000000" w:themeColor="text1"/>
          <w:lang w:val="en-US"/>
        </w:rPr>
      </w:pPr>
      <w:r>
        <w:rPr>
          <w:color w:val="000000" w:themeColor="text1"/>
          <w:lang w:val="en-US"/>
        </w:rPr>
        <w:t xml:space="preserve">Based on the discussion above RAN4 should answer RAN1 that the impact of </w:t>
      </w:r>
      <w:r w:rsidRPr="00033915">
        <w:rPr>
          <w:color w:val="000000" w:themeColor="text1"/>
          <w:lang w:val="en-US"/>
        </w:rPr>
        <w:t xml:space="preserve">exceeding basic PSD difference results in power control and/or scheduling actions for the impacted Node </w:t>
      </w:r>
      <w:r>
        <w:rPr>
          <w:color w:val="000000" w:themeColor="text1"/>
          <w:lang w:val="en-US"/>
        </w:rPr>
        <w:t xml:space="preserve">only, and as such adjusting the Tx power of the parent node is not necessary. </w:t>
      </w:r>
    </w:p>
    <w:p w14:paraId="38039DBC" w14:textId="197672D9" w:rsidR="008B3F01" w:rsidRPr="00033915" w:rsidRDefault="00033915">
      <w:pPr>
        <w:rPr>
          <w:b/>
          <w:bCs/>
          <w:color w:val="000000" w:themeColor="text1"/>
          <w:lang w:val="en-US"/>
        </w:rPr>
      </w:pPr>
      <w:r w:rsidRPr="00033915">
        <w:rPr>
          <w:b/>
          <w:bCs/>
          <w:color w:val="000000" w:themeColor="text1"/>
          <w:lang w:val="en-US"/>
        </w:rPr>
        <w:t xml:space="preserve">Observation 4: </w:t>
      </w:r>
      <w:r>
        <w:rPr>
          <w:b/>
          <w:bCs/>
          <w:color w:val="000000" w:themeColor="text1"/>
          <w:lang w:val="en-US"/>
        </w:rPr>
        <w:t>RAN4 should answers RAN1 that impact of exceeding basic PSD difference results in power control and/or scheduling actions for the impacted Node and adjusting the Tx power of the parent-Node is not necessary.</w:t>
      </w:r>
    </w:p>
    <w:p w14:paraId="4ED0B46E" w14:textId="524FFB9C" w:rsidR="0010253A" w:rsidRPr="00B53A40" w:rsidRDefault="00640DAA" w:rsidP="0010253A">
      <w:pPr>
        <w:pStyle w:val="Heading1"/>
        <w:overflowPunct/>
        <w:autoSpaceDE/>
        <w:autoSpaceDN/>
        <w:adjustRightInd/>
        <w:ind w:left="432" w:hanging="432"/>
        <w:textAlignment w:val="auto"/>
        <w:rPr>
          <w:lang w:val="en-US" w:eastAsia="zh-CN"/>
        </w:rPr>
      </w:pPr>
      <w:r>
        <w:rPr>
          <w:lang w:val="en-US" w:eastAsia="zh-CN"/>
        </w:rPr>
        <w:t xml:space="preserve">3 </w:t>
      </w:r>
      <w:r w:rsidR="0010253A" w:rsidRPr="00B53A40">
        <w:rPr>
          <w:lang w:val="en-US" w:eastAsia="zh-CN"/>
        </w:rPr>
        <w:t xml:space="preserve">Conclusion </w:t>
      </w:r>
    </w:p>
    <w:p w14:paraId="37A6B2FB" w14:textId="612F62F4" w:rsidR="0010253A" w:rsidRDefault="0010253A" w:rsidP="0010253A">
      <w:pPr>
        <w:rPr>
          <w:lang w:val="en-US" w:eastAsia="zh-CN"/>
        </w:rPr>
      </w:pPr>
      <w:r w:rsidRPr="43253585">
        <w:rPr>
          <w:lang w:val="en-US" w:eastAsia="zh-CN"/>
        </w:rPr>
        <w:t xml:space="preserve">In this contribution </w:t>
      </w:r>
      <w:r w:rsidR="008B3F01">
        <w:rPr>
          <w:lang w:val="en-US" w:eastAsia="zh-CN"/>
        </w:rPr>
        <w:t xml:space="preserve">replies to RAN1 questions on range of eIAB power control parameters were discussed. </w:t>
      </w:r>
      <w:r w:rsidRPr="43253585">
        <w:rPr>
          <w:lang w:val="en-US" w:eastAsia="zh-CN"/>
        </w:rPr>
        <w:t xml:space="preserve">The following </w:t>
      </w:r>
      <w:r w:rsidR="0068418A">
        <w:rPr>
          <w:lang w:val="en-US" w:eastAsia="zh-CN"/>
        </w:rPr>
        <w:t xml:space="preserve">observations </w:t>
      </w:r>
      <w:r w:rsidRPr="43253585">
        <w:rPr>
          <w:lang w:val="en-US" w:eastAsia="zh-CN"/>
        </w:rPr>
        <w:t>were</w:t>
      </w:r>
      <w:r w:rsidR="008B3F01">
        <w:rPr>
          <w:lang w:val="en-US" w:eastAsia="zh-CN"/>
        </w:rPr>
        <w:t>.</w:t>
      </w:r>
    </w:p>
    <w:p w14:paraId="781F7AAB" w14:textId="77777777" w:rsidR="00033915" w:rsidRDefault="00033915" w:rsidP="00033915">
      <w:pPr>
        <w:rPr>
          <w:b/>
          <w:bCs/>
          <w:color w:val="000000" w:themeColor="text1"/>
          <w:lang w:val="en-US"/>
        </w:rPr>
      </w:pPr>
      <w:r w:rsidRPr="00112CC5">
        <w:rPr>
          <w:b/>
          <w:bCs/>
          <w:color w:val="000000" w:themeColor="text1"/>
          <w:lang w:val="en-US"/>
        </w:rPr>
        <w:t>Observation 1: RAN</w:t>
      </w:r>
      <w:r>
        <w:rPr>
          <w:b/>
          <w:bCs/>
          <w:color w:val="000000" w:themeColor="text1"/>
          <w:lang w:val="en-US"/>
        </w:rPr>
        <w:t>4</w:t>
      </w:r>
      <w:r w:rsidRPr="00112CC5">
        <w:rPr>
          <w:b/>
          <w:bCs/>
          <w:color w:val="000000" w:themeColor="text1"/>
          <w:lang w:val="en-US"/>
        </w:rPr>
        <w:t xml:space="preserve"> has not defined in-channel selectivity requirements for IAB-MT.</w:t>
      </w:r>
    </w:p>
    <w:p w14:paraId="29F7FBA7" w14:textId="77777777" w:rsidR="00033915" w:rsidRPr="00584535" w:rsidRDefault="00033915" w:rsidP="00033915">
      <w:pPr>
        <w:rPr>
          <w:b/>
          <w:bCs/>
          <w:color w:val="000000" w:themeColor="text1"/>
          <w:lang w:val="en-US"/>
        </w:rPr>
      </w:pPr>
      <w:r w:rsidRPr="00584535">
        <w:rPr>
          <w:b/>
          <w:bCs/>
          <w:color w:val="000000" w:themeColor="text1"/>
          <w:lang w:val="en-US"/>
        </w:rPr>
        <w:t>Observation 2:</w:t>
      </w:r>
      <w:r>
        <w:rPr>
          <w:b/>
          <w:bCs/>
          <w:color w:val="000000" w:themeColor="text1"/>
          <w:lang w:val="en-US"/>
        </w:rPr>
        <w:t xml:space="preserve"> IAB-Node has control of transmit power and scheduling of its child-Nodes, and it can therefore resolve the PSD difference issue by itself when the signals are coming from parent and child-Node/UE.</w:t>
      </w:r>
    </w:p>
    <w:p w14:paraId="602C2DAE" w14:textId="77777777" w:rsidR="00033915" w:rsidRPr="00033915" w:rsidRDefault="00033915" w:rsidP="00033915">
      <w:pPr>
        <w:rPr>
          <w:b/>
          <w:bCs/>
          <w:color w:val="000000" w:themeColor="text1"/>
          <w:lang w:val="en-US"/>
        </w:rPr>
      </w:pPr>
      <w:r w:rsidRPr="00033915">
        <w:rPr>
          <w:b/>
          <w:bCs/>
          <w:color w:val="000000" w:themeColor="text1"/>
          <w:lang w:val="en-US"/>
        </w:rPr>
        <w:t>Observation 3: RAN4 has not defined RF requirements for dual connectivity scenarios</w:t>
      </w:r>
      <w:r>
        <w:rPr>
          <w:b/>
          <w:bCs/>
          <w:color w:val="000000" w:themeColor="text1"/>
          <w:lang w:val="en-US"/>
        </w:rPr>
        <w:t xml:space="preserve"> and therefore simultaneous reception from multiple parent-Nodes is out of scope of rel-17 in RAN4</w:t>
      </w:r>
      <w:r w:rsidRPr="00033915">
        <w:rPr>
          <w:b/>
          <w:bCs/>
          <w:color w:val="000000" w:themeColor="text1"/>
          <w:lang w:val="en-US"/>
        </w:rPr>
        <w:t>.</w:t>
      </w:r>
    </w:p>
    <w:p w14:paraId="7260315B" w14:textId="77777777" w:rsidR="00033915" w:rsidRPr="00033915" w:rsidRDefault="00033915" w:rsidP="00033915">
      <w:pPr>
        <w:rPr>
          <w:b/>
          <w:bCs/>
          <w:color w:val="000000" w:themeColor="text1"/>
          <w:lang w:val="en-US"/>
        </w:rPr>
      </w:pPr>
      <w:r w:rsidRPr="00033915">
        <w:rPr>
          <w:b/>
          <w:bCs/>
          <w:color w:val="000000" w:themeColor="text1"/>
          <w:lang w:val="en-US"/>
        </w:rPr>
        <w:t xml:space="preserve">Observation 4: </w:t>
      </w:r>
      <w:r>
        <w:rPr>
          <w:b/>
          <w:bCs/>
          <w:color w:val="000000" w:themeColor="text1"/>
          <w:lang w:val="en-US"/>
        </w:rPr>
        <w:t>RAN4 should answers RAN1 that impact of exceeding basic PSD difference results in power control and/or scheduling actions for the impacted Node and adjusting the Tx power of the parent-Node is not necessary.</w:t>
      </w:r>
    </w:p>
    <w:p w14:paraId="70D2EA71" w14:textId="7963519E" w:rsidR="0010253A" w:rsidRDefault="0010253A" w:rsidP="0010253A">
      <w:pPr>
        <w:pStyle w:val="Heading1"/>
        <w:ind w:left="0" w:firstLine="0"/>
        <w:rPr>
          <w:lang w:val="en-US" w:eastAsia="ja-JP"/>
        </w:rPr>
      </w:pPr>
      <w:r w:rsidRPr="00B53A40">
        <w:rPr>
          <w:lang w:val="en-US" w:eastAsia="ja-JP"/>
        </w:rPr>
        <w:t xml:space="preserve">References </w:t>
      </w:r>
    </w:p>
    <w:p w14:paraId="723F2084" w14:textId="1079B10A" w:rsidR="0068418A" w:rsidRDefault="59AFA31E" w:rsidP="0068418A">
      <w:pPr>
        <w:spacing w:line="259" w:lineRule="auto"/>
        <w:rPr>
          <w:lang w:val="en-US" w:eastAsia="ja-JP"/>
        </w:rPr>
      </w:pPr>
      <w:r w:rsidRPr="0B55035A">
        <w:rPr>
          <w:lang w:val="en-US" w:eastAsia="ja-JP"/>
        </w:rPr>
        <w:t xml:space="preserve">[1] </w:t>
      </w:r>
      <w:bookmarkEnd w:id="0"/>
      <w:r w:rsidR="008B3F01">
        <w:rPr>
          <w:lang w:val="en-US" w:eastAsia="ja-JP"/>
        </w:rPr>
        <w:t>R1-2202877, Reply LS on range of power control parameters for eIAB, RAN1</w:t>
      </w:r>
    </w:p>
    <w:p w14:paraId="4BE07730" w14:textId="1EFAA431" w:rsidR="008B3F01" w:rsidRPr="008F6E57" w:rsidRDefault="008B3F01" w:rsidP="0068418A">
      <w:pPr>
        <w:spacing w:line="259" w:lineRule="auto"/>
        <w:rPr>
          <w:b/>
          <w:bCs/>
          <w:i/>
          <w:iCs/>
          <w:lang w:val="en-US"/>
        </w:rPr>
      </w:pPr>
      <w:r>
        <w:rPr>
          <w:lang w:val="en-US" w:eastAsia="ja-JP"/>
        </w:rPr>
        <w:t>[2] R4-2203020, LS on range of power control parameters for eIAB, RAN4</w:t>
      </w:r>
    </w:p>
    <w:p w14:paraId="12119A0F" w14:textId="34399DC6" w:rsidR="001F0631" w:rsidRPr="008F6E57" w:rsidRDefault="001F0631" w:rsidP="009425CA">
      <w:pPr>
        <w:spacing w:line="259" w:lineRule="auto"/>
        <w:rPr>
          <w:b/>
          <w:bCs/>
          <w:i/>
          <w:iCs/>
          <w:lang w:val="en-US"/>
        </w:rPr>
      </w:pPr>
    </w:p>
    <w:sectPr w:rsidR="001F0631" w:rsidRPr="008F6E57"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98E9A" w14:textId="77777777" w:rsidR="007D09CE" w:rsidRDefault="007D09CE">
      <w:r>
        <w:separator/>
      </w:r>
    </w:p>
    <w:p w14:paraId="64109730" w14:textId="77777777" w:rsidR="007D09CE" w:rsidRDefault="007D09CE"/>
  </w:endnote>
  <w:endnote w:type="continuationSeparator" w:id="0">
    <w:p w14:paraId="694B8C5F" w14:textId="77777777" w:rsidR="007D09CE" w:rsidRDefault="007D09CE">
      <w:r>
        <w:continuationSeparator/>
      </w:r>
    </w:p>
    <w:p w14:paraId="1254FB0C" w14:textId="77777777" w:rsidR="007D09CE" w:rsidRDefault="007D09CE"/>
  </w:endnote>
  <w:endnote w:type="continuationNotice" w:id="1">
    <w:p w14:paraId="7C8142DA" w14:textId="77777777" w:rsidR="007D09CE" w:rsidRDefault="007D0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D6C2F" w14:textId="77777777" w:rsidR="007D09CE" w:rsidRDefault="007D09CE">
      <w:r>
        <w:separator/>
      </w:r>
    </w:p>
    <w:p w14:paraId="5A4C27BB" w14:textId="77777777" w:rsidR="007D09CE" w:rsidRDefault="007D09CE"/>
  </w:footnote>
  <w:footnote w:type="continuationSeparator" w:id="0">
    <w:p w14:paraId="4384CAA7" w14:textId="77777777" w:rsidR="007D09CE" w:rsidRDefault="007D09CE">
      <w:r>
        <w:continuationSeparator/>
      </w:r>
    </w:p>
    <w:p w14:paraId="585F329F" w14:textId="77777777" w:rsidR="007D09CE" w:rsidRDefault="007D09CE"/>
  </w:footnote>
  <w:footnote w:type="continuationNotice" w:id="1">
    <w:p w14:paraId="63680E1F" w14:textId="77777777" w:rsidR="007D09CE" w:rsidRDefault="007D09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51087"/>
    <w:multiLevelType w:val="multilevel"/>
    <w:tmpl w:val="86F4DF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FC4172"/>
    <w:multiLevelType w:val="multilevel"/>
    <w:tmpl w:val="D34CC3B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70D636C"/>
    <w:multiLevelType w:val="multilevel"/>
    <w:tmpl w:val="C7FA5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37408C"/>
    <w:multiLevelType w:val="multilevel"/>
    <w:tmpl w:val="F55A3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312F7E"/>
    <w:multiLevelType w:val="multilevel"/>
    <w:tmpl w:val="3C863B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125215"/>
    <w:multiLevelType w:val="hybridMultilevel"/>
    <w:tmpl w:val="86340D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920FC9"/>
    <w:multiLevelType w:val="hybridMultilevel"/>
    <w:tmpl w:val="FFFFFFFF"/>
    <w:lvl w:ilvl="0" w:tplc="84764532">
      <w:start w:val="1"/>
      <w:numFmt w:val="decimal"/>
      <w:lvlText w:val="%1."/>
      <w:lvlJc w:val="left"/>
      <w:pPr>
        <w:ind w:left="720" w:hanging="360"/>
      </w:pPr>
    </w:lvl>
    <w:lvl w:ilvl="1" w:tplc="05723F7E">
      <w:start w:val="1"/>
      <w:numFmt w:val="lowerLetter"/>
      <w:lvlText w:val="%2."/>
      <w:lvlJc w:val="left"/>
      <w:pPr>
        <w:ind w:left="1440" w:hanging="360"/>
      </w:pPr>
    </w:lvl>
    <w:lvl w:ilvl="2" w:tplc="3FE0F974">
      <w:start w:val="1"/>
      <w:numFmt w:val="lowerRoman"/>
      <w:lvlText w:val="%3."/>
      <w:lvlJc w:val="right"/>
      <w:pPr>
        <w:ind w:left="2160" w:hanging="180"/>
      </w:pPr>
    </w:lvl>
    <w:lvl w:ilvl="3" w:tplc="98208882">
      <w:start w:val="1"/>
      <w:numFmt w:val="decimal"/>
      <w:lvlText w:val="%4."/>
      <w:lvlJc w:val="left"/>
      <w:pPr>
        <w:ind w:left="2880" w:hanging="360"/>
      </w:pPr>
    </w:lvl>
    <w:lvl w:ilvl="4" w:tplc="4538F374">
      <w:start w:val="1"/>
      <w:numFmt w:val="lowerLetter"/>
      <w:lvlText w:val="%5."/>
      <w:lvlJc w:val="left"/>
      <w:pPr>
        <w:ind w:left="3600" w:hanging="360"/>
      </w:pPr>
    </w:lvl>
    <w:lvl w:ilvl="5" w:tplc="3D50A8B6">
      <w:start w:val="1"/>
      <w:numFmt w:val="lowerRoman"/>
      <w:lvlText w:val="%6."/>
      <w:lvlJc w:val="right"/>
      <w:pPr>
        <w:ind w:left="4320" w:hanging="180"/>
      </w:pPr>
    </w:lvl>
    <w:lvl w:ilvl="6" w:tplc="C21C4F16">
      <w:start w:val="1"/>
      <w:numFmt w:val="decimal"/>
      <w:lvlText w:val="%7."/>
      <w:lvlJc w:val="left"/>
      <w:pPr>
        <w:ind w:left="5040" w:hanging="360"/>
      </w:pPr>
    </w:lvl>
    <w:lvl w:ilvl="7" w:tplc="7E5E3C94">
      <w:start w:val="1"/>
      <w:numFmt w:val="lowerLetter"/>
      <w:lvlText w:val="%8."/>
      <w:lvlJc w:val="left"/>
      <w:pPr>
        <w:ind w:left="5760" w:hanging="360"/>
      </w:pPr>
    </w:lvl>
    <w:lvl w:ilvl="8" w:tplc="50842F7C">
      <w:start w:val="1"/>
      <w:numFmt w:val="lowerRoman"/>
      <w:lvlText w:val="%9."/>
      <w:lvlJc w:val="right"/>
      <w:pPr>
        <w:ind w:left="6480" w:hanging="180"/>
      </w:pPr>
    </w:lvl>
  </w:abstractNum>
  <w:abstractNum w:abstractNumId="13" w15:restartNumberingAfterBreak="0">
    <w:nsid w:val="3C4C7F6A"/>
    <w:multiLevelType w:val="multilevel"/>
    <w:tmpl w:val="C8EECA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C62B5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8AF58F2"/>
    <w:multiLevelType w:val="hybridMultilevel"/>
    <w:tmpl w:val="FFFFFFFF"/>
    <w:lvl w:ilvl="0" w:tplc="FFFFFFFF">
      <w:start w:val="1"/>
      <w:numFmt w:val="decimal"/>
      <w:lvlText w:val="[%1]"/>
      <w:lvlJc w:val="left"/>
      <w:pPr>
        <w:ind w:left="360" w:hanging="360"/>
      </w:pPr>
    </w:lvl>
    <w:lvl w:ilvl="1" w:tplc="243C878A">
      <w:start w:val="1"/>
      <w:numFmt w:val="lowerLetter"/>
      <w:lvlText w:val="%2."/>
      <w:lvlJc w:val="left"/>
      <w:pPr>
        <w:ind w:left="1080" w:hanging="360"/>
      </w:pPr>
    </w:lvl>
    <w:lvl w:ilvl="2" w:tplc="5D62FF68">
      <w:start w:val="1"/>
      <w:numFmt w:val="lowerRoman"/>
      <w:lvlText w:val="%3."/>
      <w:lvlJc w:val="right"/>
      <w:pPr>
        <w:ind w:left="1800" w:hanging="180"/>
      </w:pPr>
    </w:lvl>
    <w:lvl w:ilvl="3" w:tplc="0780048C">
      <w:start w:val="1"/>
      <w:numFmt w:val="decimal"/>
      <w:lvlText w:val="%4."/>
      <w:lvlJc w:val="left"/>
      <w:pPr>
        <w:ind w:left="2520" w:hanging="360"/>
      </w:pPr>
    </w:lvl>
    <w:lvl w:ilvl="4" w:tplc="D0F27B8C">
      <w:start w:val="1"/>
      <w:numFmt w:val="lowerLetter"/>
      <w:lvlText w:val="%5."/>
      <w:lvlJc w:val="left"/>
      <w:pPr>
        <w:ind w:left="3240" w:hanging="360"/>
      </w:pPr>
    </w:lvl>
    <w:lvl w:ilvl="5" w:tplc="0C7A03A6">
      <w:start w:val="1"/>
      <w:numFmt w:val="lowerRoman"/>
      <w:lvlText w:val="%6."/>
      <w:lvlJc w:val="right"/>
      <w:pPr>
        <w:ind w:left="3960" w:hanging="180"/>
      </w:pPr>
    </w:lvl>
    <w:lvl w:ilvl="6" w:tplc="3DD473FC">
      <w:start w:val="1"/>
      <w:numFmt w:val="decimal"/>
      <w:lvlText w:val="%7."/>
      <w:lvlJc w:val="left"/>
      <w:pPr>
        <w:ind w:left="4680" w:hanging="360"/>
      </w:pPr>
    </w:lvl>
    <w:lvl w:ilvl="7" w:tplc="FC06FFE0">
      <w:start w:val="1"/>
      <w:numFmt w:val="lowerLetter"/>
      <w:lvlText w:val="%8."/>
      <w:lvlJc w:val="left"/>
      <w:pPr>
        <w:ind w:left="5400" w:hanging="360"/>
      </w:pPr>
    </w:lvl>
    <w:lvl w:ilvl="8" w:tplc="D9EE3B8A">
      <w:start w:val="1"/>
      <w:numFmt w:val="lowerRoman"/>
      <w:lvlText w:val="%9."/>
      <w:lvlJc w:val="right"/>
      <w:pPr>
        <w:ind w:left="612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EDE030C"/>
    <w:multiLevelType w:val="hybridMultilevel"/>
    <w:tmpl w:val="503EEA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F6796"/>
    <w:multiLevelType w:val="hybridMultilevel"/>
    <w:tmpl w:val="8252F9BE"/>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F112CB"/>
    <w:multiLevelType w:val="hybridMultilevel"/>
    <w:tmpl w:val="EA5A46C0"/>
    <w:lvl w:ilvl="0" w:tplc="96BAFEE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7"/>
  </w:num>
  <w:num w:numId="3">
    <w:abstractNumId w:val="10"/>
  </w:num>
  <w:num w:numId="4">
    <w:abstractNumId w:val="30"/>
  </w:num>
  <w:num w:numId="5">
    <w:abstractNumId w:val="8"/>
  </w:num>
  <w:num w:numId="6">
    <w:abstractNumId w:val="2"/>
  </w:num>
  <w:num w:numId="7">
    <w:abstractNumId w:val="27"/>
  </w:num>
  <w:num w:numId="8">
    <w:abstractNumId w:val="20"/>
  </w:num>
  <w:num w:numId="9">
    <w:abstractNumId w:val="25"/>
  </w:num>
  <w:num w:numId="10">
    <w:abstractNumId w:val="9"/>
  </w:num>
  <w:num w:numId="11">
    <w:abstractNumId w:val="18"/>
  </w:num>
  <w:num w:numId="12">
    <w:abstractNumId w:val="32"/>
  </w:num>
  <w:num w:numId="13">
    <w:abstractNumId w:val="15"/>
  </w:num>
  <w:num w:numId="14">
    <w:abstractNumId w:val="14"/>
  </w:num>
  <w:num w:numId="15">
    <w:abstractNumId w:val="3"/>
  </w:num>
  <w:num w:numId="16">
    <w:abstractNumId w:val="22"/>
  </w:num>
  <w:num w:numId="17">
    <w:abstractNumId w:val="26"/>
  </w:num>
  <w:num w:numId="18">
    <w:abstractNumId w:val="29"/>
  </w:num>
  <w:num w:numId="19">
    <w:abstractNumId w:val="16"/>
  </w:num>
  <w:num w:numId="20">
    <w:abstractNumId w:val="21"/>
  </w:num>
  <w:num w:numId="21">
    <w:abstractNumId w:val="24"/>
  </w:num>
  <w:num w:numId="22">
    <w:abstractNumId w:val="23"/>
  </w:num>
  <w:num w:numId="23">
    <w:abstractNumId w:val="19"/>
  </w:num>
  <w:num w:numId="24">
    <w:abstractNumId w:val="1"/>
  </w:num>
  <w:num w:numId="25">
    <w:abstractNumId w:val="31"/>
  </w:num>
  <w:num w:numId="26">
    <w:abstractNumId w:val="6"/>
  </w:num>
  <w:num w:numId="27">
    <w:abstractNumId w:val="0"/>
  </w:num>
  <w:num w:numId="28">
    <w:abstractNumId w:val="5"/>
  </w:num>
  <w:num w:numId="29">
    <w:abstractNumId w:val="13"/>
  </w:num>
  <w:num w:numId="30">
    <w:abstractNumId w:val="4"/>
  </w:num>
  <w:num w:numId="31">
    <w:abstractNumId w:val="7"/>
  </w:num>
  <w:num w:numId="32">
    <w:abstractNumId w:val="28"/>
  </w:num>
  <w:num w:numId="3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07260"/>
    <w:rsid w:val="00008B5A"/>
    <w:rsid w:val="00011083"/>
    <w:rsid w:val="000119C0"/>
    <w:rsid w:val="00012A2A"/>
    <w:rsid w:val="00012D5C"/>
    <w:rsid w:val="00012E0D"/>
    <w:rsid w:val="00016452"/>
    <w:rsid w:val="00016BA0"/>
    <w:rsid w:val="00021580"/>
    <w:rsid w:val="00021DD8"/>
    <w:rsid w:val="00022200"/>
    <w:rsid w:val="00022F79"/>
    <w:rsid w:val="00023420"/>
    <w:rsid w:val="00024555"/>
    <w:rsid w:val="00024667"/>
    <w:rsid w:val="000248D8"/>
    <w:rsid w:val="00024CA4"/>
    <w:rsid w:val="00024DA3"/>
    <w:rsid w:val="00030F6A"/>
    <w:rsid w:val="00032E33"/>
    <w:rsid w:val="000337B8"/>
    <w:rsid w:val="00033915"/>
    <w:rsid w:val="0003397D"/>
    <w:rsid w:val="00033C4E"/>
    <w:rsid w:val="00034D1A"/>
    <w:rsid w:val="00036334"/>
    <w:rsid w:val="00040739"/>
    <w:rsid w:val="00040924"/>
    <w:rsid w:val="00041216"/>
    <w:rsid w:val="00041CE6"/>
    <w:rsid w:val="0004250C"/>
    <w:rsid w:val="00043B72"/>
    <w:rsid w:val="00043ED1"/>
    <w:rsid w:val="00044058"/>
    <w:rsid w:val="00044215"/>
    <w:rsid w:val="00045239"/>
    <w:rsid w:val="0004544D"/>
    <w:rsid w:val="0004586A"/>
    <w:rsid w:val="00045CAF"/>
    <w:rsid w:val="00045DD8"/>
    <w:rsid w:val="00046833"/>
    <w:rsid w:val="00046EDB"/>
    <w:rsid w:val="000473C5"/>
    <w:rsid w:val="000478FE"/>
    <w:rsid w:val="00050937"/>
    <w:rsid w:val="00050AEA"/>
    <w:rsid w:val="00051646"/>
    <w:rsid w:val="000517A4"/>
    <w:rsid w:val="00051D7C"/>
    <w:rsid w:val="0005654A"/>
    <w:rsid w:val="0005692B"/>
    <w:rsid w:val="00057323"/>
    <w:rsid w:val="0006168A"/>
    <w:rsid w:val="000622DA"/>
    <w:rsid w:val="00062576"/>
    <w:rsid w:val="00062A74"/>
    <w:rsid w:val="00062E33"/>
    <w:rsid w:val="00064217"/>
    <w:rsid w:val="00064909"/>
    <w:rsid w:val="00065047"/>
    <w:rsid w:val="0006685F"/>
    <w:rsid w:val="0007083F"/>
    <w:rsid w:val="00070D0C"/>
    <w:rsid w:val="00071BE8"/>
    <w:rsid w:val="00071D8F"/>
    <w:rsid w:val="0007265D"/>
    <w:rsid w:val="00072E66"/>
    <w:rsid w:val="0007511F"/>
    <w:rsid w:val="00075853"/>
    <w:rsid w:val="00075887"/>
    <w:rsid w:val="00075992"/>
    <w:rsid w:val="00081A68"/>
    <w:rsid w:val="00082919"/>
    <w:rsid w:val="000835E1"/>
    <w:rsid w:val="00083C41"/>
    <w:rsid w:val="00086309"/>
    <w:rsid w:val="000864E9"/>
    <w:rsid w:val="0008772F"/>
    <w:rsid w:val="000901B3"/>
    <w:rsid w:val="0009083B"/>
    <w:rsid w:val="000933C8"/>
    <w:rsid w:val="00093E30"/>
    <w:rsid w:val="0009501F"/>
    <w:rsid w:val="00095A55"/>
    <w:rsid w:val="0009681B"/>
    <w:rsid w:val="00096BF8"/>
    <w:rsid w:val="00096F7C"/>
    <w:rsid w:val="000A6CD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714B"/>
    <w:rsid w:val="000D09DE"/>
    <w:rsid w:val="000D2475"/>
    <w:rsid w:val="000D2901"/>
    <w:rsid w:val="000D3F6B"/>
    <w:rsid w:val="000D5177"/>
    <w:rsid w:val="000D6235"/>
    <w:rsid w:val="000E0832"/>
    <w:rsid w:val="000E1DC7"/>
    <w:rsid w:val="000E33A7"/>
    <w:rsid w:val="000E374A"/>
    <w:rsid w:val="000E4053"/>
    <w:rsid w:val="000E4DA7"/>
    <w:rsid w:val="000E507D"/>
    <w:rsid w:val="000E66BC"/>
    <w:rsid w:val="000E6CF1"/>
    <w:rsid w:val="000E7556"/>
    <w:rsid w:val="000E7883"/>
    <w:rsid w:val="000E78CA"/>
    <w:rsid w:val="000E8564"/>
    <w:rsid w:val="000F0202"/>
    <w:rsid w:val="000F0282"/>
    <w:rsid w:val="000F11AD"/>
    <w:rsid w:val="000F2345"/>
    <w:rsid w:val="000F5653"/>
    <w:rsid w:val="000F63E2"/>
    <w:rsid w:val="000F6BA5"/>
    <w:rsid w:val="000F70F2"/>
    <w:rsid w:val="00100473"/>
    <w:rsid w:val="00102205"/>
    <w:rsid w:val="0010253A"/>
    <w:rsid w:val="00103D25"/>
    <w:rsid w:val="001048F9"/>
    <w:rsid w:val="00104DF9"/>
    <w:rsid w:val="00105183"/>
    <w:rsid w:val="00105617"/>
    <w:rsid w:val="001065D9"/>
    <w:rsid w:val="00106776"/>
    <w:rsid w:val="00106A3E"/>
    <w:rsid w:val="00107381"/>
    <w:rsid w:val="00107C73"/>
    <w:rsid w:val="00110001"/>
    <w:rsid w:val="0011042F"/>
    <w:rsid w:val="00110AE2"/>
    <w:rsid w:val="00111CC2"/>
    <w:rsid w:val="00112492"/>
    <w:rsid w:val="00112CC5"/>
    <w:rsid w:val="0011310F"/>
    <w:rsid w:val="00114F79"/>
    <w:rsid w:val="0011668A"/>
    <w:rsid w:val="0011716F"/>
    <w:rsid w:val="00117C3D"/>
    <w:rsid w:val="00117C6C"/>
    <w:rsid w:val="00121454"/>
    <w:rsid w:val="00121C06"/>
    <w:rsid w:val="00122120"/>
    <w:rsid w:val="00122919"/>
    <w:rsid w:val="00122A62"/>
    <w:rsid w:val="001238B2"/>
    <w:rsid w:val="00123AC6"/>
    <w:rsid w:val="00125CE9"/>
    <w:rsid w:val="001268ED"/>
    <w:rsid w:val="00126B33"/>
    <w:rsid w:val="00127404"/>
    <w:rsid w:val="0012751C"/>
    <w:rsid w:val="00127F25"/>
    <w:rsid w:val="001301C6"/>
    <w:rsid w:val="00130E31"/>
    <w:rsid w:val="001311C2"/>
    <w:rsid w:val="00133096"/>
    <w:rsid w:val="00134549"/>
    <w:rsid w:val="00134A06"/>
    <w:rsid w:val="00134BAA"/>
    <w:rsid w:val="00134BC7"/>
    <w:rsid w:val="00136050"/>
    <w:rsid w:val="00137B7B"/>
    <w:rsid w:val="001402CE"/>
    <w:rsid w:val="00140F24"/>
    <w:rsid w:val="00142148"/>
    <w:rsid w:val="0014240F"/>
    <w:rsid w:val="00143174"/>
    <w:rsid w:val="0014355A"/>
    <w:rsid w:val="00144A33"/>
    <w:rsid w:val="00146A0D"/>
    <w:rsid w:val="00147A43"/>
    <w:rsid w:val="00150D4C"/>
    <w:rsid w:val="00150F94"/>
    <w:rsid w:val="0015160B"/>
    <w:rsid w:val="00152DFD"/>
    <w:rsid w:val="001531BC"/>
    <w:rsid w:val="00153A11"/>
    <w:rsid w:val="00156520"/>
    <w:rsid w:val="00156D9B"/>
    <w:rsid w:val="00157957"/>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3DA"/>
    <w:rsid w:val="00172744"/>
    <w:rsid w:val="00173053"/>
    <w:rsid w:val="00173493"/>
    <w:rsid w:val="00174966"/>
    <w:rsid w:val="001757B3"/>
    <w:rsid w:val="001761C1"/>
    <w:rsid w:val="00177447"/>
    <w:rsid w:val="001804A7"/>
    <w:rsid w:val="00180AE2"/>
    <w:rsid w:val="00181456"/>
    <w:rsid w:val="0018174E"/>
    <w:rsid w:val="00182487"/>
    <w:rsid w:val="0018259D"/>
    <w:rsid w:val="00182612"/>
    <w:rsid w:val="00183EEE"/>
    <w:rsid w:val="001861C4"/>
    <w:rsid w:val="0018696D"/>
    <w:rsid w:val="0018B798"/>
    <w:rsid w:val="0019099F"/>
    <w:rsid w:val="00192D27"/>
    <w:rsid w:val="00192DE9"/>
    <w:rsid w:val="001943B0"/>
    <w:rsid w:val="001A080C"/>
    <w:rsid w:val="001A0E48"/>
    <w:rsid w:val="001A23D2"/>
    <w:rsid w:val="001A455B"/>
    <w:rsid w:val="001A4F26"/>
    <w:rsid w:val="001A6521"/>
    <w:rsid w:val="001A7019"/>
    <w:rsid w:val="001A70CB"/>
    <w:rsid w:val="001A79D4"/>
    <w:rsid w:val="001B0749"/>
    <w:rsid w:val="001B1E69"/>
    <w:rsid w:val="001B2199"/>
    <w:rsid w:val="001B5134"/>
    <w:rsid w:val="001B56B0"/>
    <w:rsid w:val="001B7DFB"/>
    <w:rsid w:val="001C10A4"/>
    <w:rsid w:val="001C23C1"/>
    <w:rsid w:val="001C2A5B"/>
    <w:rsid w:val="001C2F51"/>
    <w:rsid w:val="001C3631"/>
    <w:rsid w:val="001C3CB6"/>
    <w:rsid w:val="001C6386"/>
    <w:rsid w:val="001C763E"/>
    <w:rsid w:val="001C767D"/>
    <w:rsid w:val="001D0A3B"/>
    <w:rsid w:val="001D3758"/>
    <w:rsid w:val="001D45C2"/>
    <w:rsid w:val="001D67DE"/>
    <w:rsid w:val="001E0D31"/>
    <w:rsid w:val="001E16C7"/>
    <w:rsid w:val="001E3991"/>
    <w:rsid w:val="001E3A2B"/>
    <w:rsid w:val="001E5290"/>
    <w:rsid w:val="001E597F"/>
    <w:rsid w:val="001E5BE1"/>
    <w:rsid w:val="001E60E9"/>
    <w:rsid w:val="001E6212"/>
    <w:rsid w:val="001E6F98"/>
    <w:rsid w:val="001F0631"/>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5B7"/>
    <w:rsid w:val="00206699"/>
    <w:rsid w:val="00206C15"/>
    <w:rsid w:val="00207358"/>
    <w:rsid w:val="002126B8"/>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525"/>
    <w:rsid w:val="0027067C"/>
    <w:rsid w:val="00274E46"/>
    <w:rsid w:val="0027671F"/>
    <w:rsid w:val="002814EE"/>
    <w:rsid w:val="002817D8"/>
    <w:rsid w:val="00282849"/>
    <w:rsid w:val="002854CF"/>
    <w:rsid w:val="0028727D"/>
    <w:rsid w:val="00290080"/>
    <w:rsid w:val="00290ADC"/>
    <w:rsid w:val="0029195F"/>
    <w:rsid w:val="00291C07"/>
    <w:rsid w:val="00291C0E"/>
    <w:rsid w:val="00291FCC"/>
    <w:rsid w:val="00292204"/>
    <w:rsid w:val="002945D4"/>
    <w:rsid w:val="00294F59"/>
    <w:rsid w:val="00294F75"/>
    <w:rsid w:val="00296DF9"/>
    <w:rsid w:val="002A0C31"/>
    <w:rsid w:val="002A472E"/>
    <w:rsid w:val="002A4F73"/>
    <w:rsid w:val="002A6D1B"/>
    <w:rsid w:val="002A6DFE"/>
    <w:rsid w:val="002A7085"/>
    <w:rsid w:val="002A7834"/>
    <w:rsid w:val="002B1B5D"/>
    <w:rsid w:val="002B1D9A"/>
    <w:rsid w:val="002B1FBF"/>
    <w:rsid w:val="002B26C9"/>
    <w:rsid w:val="002B3305"/>
    <w:rsid w:val="002B38E7"/>
    <w:rsid w:val="002B51FC"/>
    <w:rsid w:val="002B655B"/>
    <w:rsid w:val="002C14D5"/>
    <w:rsid w:val="002C1955"/>
    <w:rsid w:val="002C1C54"/>
    <w:rsid w:val="002C2141"/>
    <w:rsid w:val="002C2C43"/>
    <w:rsid w:val="002C34F5"/>
    <w:rsid w:val="002C4549"/>
    <w:rsid w:val="002C5256"/>
    <w:rsid w:val="002C5A06"/>
    <w:rsid w:val="002C6795"/>
    <w:rsid w:val="002D04B2"/>
    <w:rsid w:val="002D1CAF"/>
    <w:rsid w:val="002D641F"/>
    <w:rsid w:val="002D72D9"/>
    <w:rsid w:val="002E04F9"/>
    <w:rsid w:val="002E0567"/>
    <w:rsid w:val="002E0A88"/>
    <w:rsid w:val="002E1915"/>
    <w:rsid w:val="002E2805"/>
    <w:rsid w:val="002E383E"/>
    <w:rsid w:val="002E7320"/>
    <w:rsid w:val="002E7B0B"/>
    <w:rsid w:val="002F1C19"/>
    <w:rsid w:val="002F3907"/>
    <w:rsid w:val="002F44B4"/>
    <w:rsid w:val="002F4C27"/>
    <w:rsid w:val="002F61B6"/>
    <w:rsid w:val="002F638C"/>
    <w:rsid w:val="002F7CDE"/>
    <w:rsid w:val="003005D1"/>
    <w:rsid w:val="00301251"/>
    <w:rsid w:val="00301372"/>
    <w:rsid w:val="00302A4A"/>
    <w:rsid w:val="0030304B"/>
    <w:rsid w:val="00303E2A"/>
    <w:rsid w:val="00303E49"/>
    <w:rsid w:val="00306771"/>
    <w:rsid w:val="00307046"/>
    <w:rsid w:val="003107B3"/>
    <w:rsid w:val="00311B8D"/>
    <w:rsid w:val="0031359C"/>
    <w:rsid w:val="00313884"/>
    <w:rsid w:val="00313CC9"/>
    <w:rsid w:val="00314B6E"/>
    <w:rsid w:val="00315EF8"/>
    <w:rsid w:val="003170E1"/>
    <w:rsid w:val="00317AE9"/>
    <w:rsid w:val="00317C0B"/>
    <w:rsid w:val="003212F8"/>
    <w:rsid w:val="00325B9D"/>
    <w:rsid w:val="0033080F"/>
    <w:rsid w:val="00330AA6"/>
    <w:rsid w:val="0033109A"/>
    <w:rsid w:val="003314AB"/>
    <w:rsid w:val="00331500"/>
    <w:rsid w:val="00332E25"/>
    <w:rsid w:val="00334588"/>
    <w:rsid w:val="00335528"/>
    <w:rsid w:val="00337B11"/>
    <w:rsid w:val="00340925"/>
    <w:rsid w:val="0034187D"/>
    <w:rsid w:val="003429CE"/>
    <w:rsid w:val="0034380B"/>
    <w:rsid w:val="0034437E"/>
    <w:rsid w:val="003447FB"/>
    <w:rsid w:val="00347D5B"/>
    <w:rsid w:val="0035047C"/>
    <w:rsid w:val="00352333"/>
    <w:rsid w:val="00352793"/>
    <w:rsid w:val="00352AD0"/>
    <w:rsid w:val="00352B95"/>
    <w:rsid w:val="00355307"/>
    <w:rsid w:val="003570F2"/>
    <w:rsid w:val="0035775F"/>
    <w:rsid w:val="00360266"/>
    <w:rsid w:val="003605A9"/>
    <w:rsid w:val="003605C4"/>
    <w:rsid w:val="003606C5"/>
    <w:rsid w:val="00360992"/>
    <w:rsid w:val="003645D6"/>
    <w:rsid w:val="00365001"/>
    <w:rsid w:val="003663F8"/>
    <w:rsid w:val="00367713"/>
    <w:rsid w:val="00367EA8"/>
    <w:rsid w:val="00371DFA"/>
    <w:rsid w:val="00373293"/>
    <w:rsid w:val="003741B9"/>
    <w:rsid w:val="00374315"/>
    <w:rsid w:val="00375488"/>
    <w:rsid w:val="00380CBE"/>
    <w:rsid w:val="00385D27"/>
    <w:rsid w:val="0038651D"/>
    <w:rsid w:val="00391088"/>
    <w:rsid w:val="00391408"/>
    <w:rsid w:val="003915F3"/>
    <w:rsid w:val="00391A4A"/>
    <w:rsid w:val="0039295B"/>
    <w:rsid w:val="00392DE4"/>
    <w:rsid w:val="00393C6B"/>
    <w:rsid w:val="003945B9"/>
    <w:rsid w:val="00394DDA"/>
    <w:rsid w:val="00395A77"/>
    <w:rsid w:val="00397D54"/>
    <w:rsid w:val="003A07CC"/>
    <w:rsid w:val="003A1B84"/>
    <w:rsid w:val="003A44BA"/>
    <w:rsid w:val="003A62F2"/>
    <w:rsid w:val="003A679B"/>
    <w:rsid w:val="003B059D"/>
    <w:rsid w:val="003B30F0"/>
    <w:rsid w:val="003B3358"/>
    <w:rsid w:val="003B471D"/>
    <w:rsid w:val="003B5B85"/>
    <w:rsid w:val="003B7306"/>
    <w:rsid w:val="003B7F0A"/>
    <w:rsid w:val="003C24ED"/>
    <w:rsid w:val="003C2D3C"/>
    <w:rsid w:val="003C3146"/>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69"/>
    <w:rsid w:val="003F089D"/>
    <w:rsid w:val="003F1D1B"/>
    <w:rsid w:val="003F76C2"/>
    <w:rsid w:val="003F77B4"/>
    <w:rsid w:val="004004D5"/>
    <w:rsid w:val="004007F0"/>
    <w:rsid w:val="00400C8A"/>
    <w:rsid w:val="00401A10"/>
    <w:rsid w:val="00403699"/>
    <w:rsid w:val="00403B72"/>
    <w:rsid w:val="0040459F"/>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454"/>
    <w:rsid w:val="00430506"/>
    <w:rsid w:val="00431A13"/>
    <w:rsid w:val="00431D1E"/>
    <w:rsid w:val="004321CA"/>
    <w:rsid w:val="00432508"/>
    <w:rsid w:val="004329CD"/>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6E42"/>
    <w:rsid w:val="00457E77"/>
    <w:rsid w:val="004610DD"/>
    <w:rsid w:val="00461DA8"/>
    <w:rsid w:val="00463786"/>
    <w:rsid w:val="00463A56"/>
    <w:rsid w:val="00464305"/>
    <w:rsid w:val="004646F1"/>
    <w:rsid w:val="004648E9"/>
    <w:rsid w:val="00465616"/>
    <w:rsid w:val="00466E5D"/>
    <w:rsid w:val="00466F85"/>
    <w:rsid w:val="00467C5A"/>
    <w:rsid w:val="00470D57"/>
    <w:rsid w:val="004713BA"/>
    <w:rsid w:val="00472D9C"/>
    <w:rsid w:val="0047494B"/>
    <w:rsid w:val="004751F1"/>
    <w:rsid w:val="004751FC"/>
    <w:rsid w:val="00475E66"/>
    <w:rsid w:val="004818A4"/>
    <w:rsid w:val="004823D7"/>
    <w:rsid w:val="00482850"/>
    <w:rsid w:val="00486056"/>
    <w:rsid w:val="0048606A"/>
    <w:rsid w:val="00487109"/>
    <w:rsid w:val="00491DAB"/>
    <w:rsid w:val="00493D41"/>
    <w:rsid w:val="004945D3"/>
    <w:rsid w:val="004945D6"/>
    <w:rsid w:val="00496793"/>
    <w:rsid w:val="004974D7"/>
    <w:rsid w:val="004A0F2B"/>
    <w:rsid w:val="004A104F"/>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2A5"/>
    <w:rsid w:val="004C580F"/>
    <w:rsid w:val="004C5A87"/>
    <w:rsid w:val="004C5AEB"/>
    <w:rsid w:val="004C6F03"/>
    <w:rsid w:val="004C72FA"/>
    <w:rsid w:val="004C7806"/>
    <w:rsid w:val="004D0AA6"/>
    <w:rsid w:val="004D1386"/>
    <w:rsid w:val="004D47FA"/>
    <w:rsid w:val="004E0607"/>
    <w:rsid w:val="004E0719"/>
    <w:rsid w:val="004E2429"/>
    <w:rsid w:val="004E3849"/>
    <w:rsid w:val="004E4332"/>
    <w:rsid w:val="004E68B7"/>
    <w:rsid w:val="004E6EE2"/>
    <w:rsid w:val="004E7F06"/>
    <w:rsid w:val="004F1495"/>
    <w:rsid w:val="004F2418"/>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0BCD"/>
    <w:rsid w:val="00523E57"/>
    <w:rsid w:val="00526BAB"/>
    <w:rsid w:val="00533241"/>
    <w:rsid w:val="005335CB"/>
    <w:rsid w:val="00533692"/>
    <w:rsid w:val="00533987"/>
    <w:rsid w:val="00534124"/>
    <w:rsid w:val="00535F5C"/>
    <w:rsid w:val="00541A5D"/>
    <w:rsid w:val="00542C29"/>
    <w:rsid w:val="00543732"/>
    <w:rsid w:val="00543E46"/>
    <w:rsid w:val="005446C1"/>
    <w:rsid w:val="005455E1"/>
    <w:rsid w:val="00546210"/>
    <w:rsid w:val="005479C2"/>
    <w:rsid w:val="005503D4"/>
    <w:rsid w:val="0055043E"/>
    <w:rsid w:val="0055085B"/>
    <w:rsid w:val="0055186A"/>
    <w:rsid w:val="00552168"/>
    <w:rsid w:val="00553C56"/>
    <w:rsid w:val="00553D51"/>
    <w:rsid w:val="00553ECA"/>
    <w:rsid w:val="00554FDB"/>
    <w:rsid w:val="00555297"/>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0B66"/>
    <w:rsid w:val="00583DF4"/>
    <w:rsid w:val="005842DD"/>
    <w:rsid w:val="00584535"/>
    <w:rsid w:val="0058582A"/>
    <w:rsid w:val="00591F76"/>
    <w:rsid w:val="0059384F"/>
    <w:rsid w:val="00595476"/>
    <w:rsid w:val="00595DBE"/>
    <w:rsid w:val="0059615C"/>
    <w:rsid w:val="00596474"/>
    <w:rsid w:val="005973E1"/>
    <w:rsid w:val="00597DD9"/>
    <w:rsid w:val="005A15BA"/>
    <w:rsid w:val="005A7118"/>
    <w:rsid w:val="005A7F8C"/>
    <w:rsid w:val="005B06BD"/>
    <w:rsid w:val="005B0E73"/>
    <w:rsid w:val="005B195C"/>
    <w:rsid w:val="005B3B7D"/>
    <w:rsid w:val="005B4B5A"/>
    <w:rsid w:val="005B54EC"/>
    <w:rsid w:val="005B7134"/>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3E8"/>
    <w:rsid w:val="005D6432"/>
    <w:rsid w:val="005D6987"/>
    <w:rsid w:val="005D76AA"/>
    <w:rsid w:val="005E07E4"/>
    <w:rsid w:val="005E34F0"/>
    <w:rsid w:val="005E4DD3"/>
    <w:rsid w:val="005E57A3"/>
    <w:rsid w:val="005E6BED"/>
    <w:rsid w:val="005E7F5B"/>
    <w:rsid w:val="005F0F80"/>
    <w:rsid w:val="005F0FCC"/>
    <w:rsid w:val="005F15D9"/>
    <w:rsid w:val="005F2F8F"/>
    <w:rsid w:val="005F3674"/>
    <w:rsid w:val="005F3BD8"/>
    <w:rsid w:val="005F3C10"/>
    <w:rsid w:val="005F592E"/>
    <w:rsid w:val="0060018B"/>
    <w:rsid w:val="00602BE0"/>
    <w:rsid w:val="00603DAF"/>
    <w:rsid w:val="00604AF6"/>
    <w:rsid w:val="00605660"/>
    <w:rsid w:val="006057D0"/>
    <w:rsid w:val="0060623A"/>
    <w:rsid w:val="006108AD"/>
    <w:rsid w:val="00610BD0"/>
    <w:rsid w:val="00615CD5"/>
    <w:rsid w:val="006163E1"/>
    <w:rsid w:val="00617330"/>
    <w:rsid w:val="00617FF4"/>
    <w:rsid w:val="00620402"/>
    <w:rsid w:val="006209A2"/>
    <w:rsid w:val="00621B02"/>
    <w:rsid w:val="00624AAC"/>
    <w:rsid w:val="00625115"/>
    <w:rsid w:val="00626890"/>
    <w:rsid w:val="00626DC7"/>
    <w:rsid w:val="006303E8"/>
    <w:rsid w:val="006320A1"/>
    <w:rsid w:val="00632725"/>
    <w:rsid w:val="00632C9D"/>
    <w:rsid w:val="00635B02"/>
    <w:rsid w:val="006375AA"/>
    <w:rsid w:val="00640093"/>
    <w:rsid w:val="00640DAA"/>
    <w:rsid w:val="006411D1"/>
    <w:rsid w:val="0064167E"/>
    <w:rsid w:val="00641FE9"/>
    <w:rsid w:val="00642AFB"/>
    <w:rsid w:val="006438ED"/>
    <w:rsid w:val="006458E7"/>
    <w:rsid w:val="0064640C"/>
    <w:rsid w:val="0064665F"/>
    <w:rsid w:val="00647878"/>
    <w:rsid w:val="00647A8A"/>
    <w:rsid w:val="00647BD1"/>
    <w:rsid w:val="00650FCE"/>
    <w:rsid w:val="006540ED"/>
    <w:rsid w:val="00654165"/>
    <w:rsid w:val="00654AB7"/>
    <w:rsid w:val="00655593"/>
    <w:rsid w:val="0065595A"/>
    <w:rsid w:val="006560CF"/>
    <w:rsid w:val="00656B24"/>
    <w:rsid w:val="006609A4"/>
    <w:rsid w:val="00660D90"/>
    <w:rsid w:val="006613F1"/>
    <w:rsid w:val="00661B3E"/>
    <w:rsid w:val="0066216D"/>
    <w:rsid w:val="00663584"/>
    <w:rsid w:val="00663E96"/>
    <w:rsid w:val="0066498B"/>
    <w:rsid w:val="00664DC6"/>
    <w:rsid w:val="00666E07"/>
    <w:rsid w:val="00667A66"/>
    <w:rsid w:val="00667AD0"/>
    <w:rsid w:val="00667E6E"/>
    <w:rsid w:val="00670D2A"/>
    <w:rsid w:val="00671121"/>
    <w:rsid w:val="0067166F"/>
    <w:rsid w:val="00671B57"/>
    <w:rsid w:val="00672500"/>
    <w:rsid w:val="0067324F"/>
    <w:rsid w:val="00674CFF"/>
    <w:rsid w:val="00675341"/>
    <w:rsid w:val="00676F94"/>
    <w:rsid w:val="0068107E"/>
    <w:rsid w:val="006812EE"/>
    <w:rsid w:val="00681CA0"/>
    <w:rsid w:val="0068418A"/>
    <w:rsid w:val="0068483D"/>
    <w:rsid w:val="00685297"/>
    <w:rsid w:val="0068766C"/>
    <w:rsid w:val="00687921"/>
    <w:rsid w:val="006901FF"/>
    <w:rsid w:val="00690D75"/>
    <w:rsid w:val="0069237B"/>
    <w:rsid w:val="00693BC6"/>
    <w:rsid w:val="006946B6"/>
    <w:rsid w:val="0069513A"/>
    <w:rsid w:val="00695564"/>
    <w:rsid w:val="00697320"/>
    <w:rsid w:val="006976E7"/>
    <w:rsid w:val="006A0A88"/>
    <w:rsid w:val="006A7F19"/>
    <w:rsid w:val="006B0BC0"/>
    <w:rsid w:val="006B137F"/>
    <w:rsid w:val="006B209E"/>
    <w:rsid w:val="006B25EF"/>
    <w:rsid w:val="006B2874"/>
    <w:rsid w:val="006B2AF4"/>
    <w:rsid w:val="006B3675"/>
    <w:rsid w:val="006B4435"/>
    <w:rsid w:val="006B4CCD"/>
    <w:rsid w:val="006B656E"/>
    <w:rsid w:val="006B7F6E"/>
    <w:rsid w:val="006C05CA"/>
    <w:rsid w:val="006C0F6F"/>
    <w:rsid w:val="006C22F4"/>
    <w:rsid w:val="006C358C"/>
    <w:rsid w:val="006C407C"/>
    <w:rsid w:val="006C7BC8"/>
    <w:rsid w:val="006D1084"/>
    <w:rsid w:val="006D12CD"/>
    <w:rsid w:val="006D20FF"/>
    <w:rsid w:val="006D3937"/>
    <w:rsid w:val="006D42EB"/>
    <w:rsid w:val="006D4E8F"/>
    <w:rsid w:val="006D594B"/>
    <w:rsid w:val="006D7A3E"/>
    <w:rsid w:val="006E1F1F"/>
    <w:rsid w:val="006E1F9D"/>
    <w:rsid w:val="006E3770"/>
    <w:rsid w:val="006E67DA"/>
    <w:rsid w:val="006F04F0"/>
    <w:rsid w:val="006F3C3D"/>
    <w:rsid w:val="006F528F"/>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65A0"/>
    <w:rsid w:val="00716731"/>
    <w:rsid w:val="00717D9B"/>
    <w:rsid w:val="0072082E"/>
    <w:rsid w:val="00720B72"/>
    <w:rsid w:val="00720E1F"/>
    <w:rsid w:val="00721A17"/>
    <w:rsid w:val="00724253"/>
    <w:rsid w:val="00724D55"/>
    <w:rsid w:val="00724F72"/>
    <w:rsid w:val="00725D5B"/>
    <w:rsid w:val="0072794D"/>
    <w:rsid w:val="007300B6"/>
    <w:rsid w:val="0073042E"/>
    <w:rsid w:val="00731659"/>
    <w:rsid w:val="00731BE5"/>
    <w:rsid w:val="00731E32"/>
    <w:rsid w:val="00731F18"/>
    <w:rsid w:val="007328F2"/>
    <w:rsid w:val="00732DF7"/>
    <w:rsid w:val="00733C68"/>
    <w:rsid w:val="00733ED8"/>
    <w:rsid w:val="00733F3C"/>
    <w:rsid w:val="007344A3"/>
    <w:rsid w:val="007354D5"/>
    <w:rsid w:val="0073683B"/>
    <w:rsid w:val="007369F1"/>
    <w:rsid w:val="00737512"/>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012"/>
    <w:rsid w:val="007533F0"/>
    <w:rsid w:val="007543C1"/>
    <w:rsid w:val="007544A2"/>
    <w:rsid w:val="007554CF"/>
    <w:rsid w:val="00756150"/>
    <w:rsid w:val="00756833"/>
    <w:rsid w:val="0075709B"/>
    <w:rsid w:val="00760483"/>
    <w:rsid w:val="00760899"/>
    <w:rsid w:val="00762A5E"/>
    <w:rsid w:val="00763C90"/>
    <w:rsid w:val="007654C9"/>
    <w:rsid w:val="00766AB5"/>
    <w:rsid w:val="00766C05"/>
    <w:rsid w:val="00766D2F"/>
    <w:rsid w:val="007755DF"/>
    <w:rsid w:val="00775CBA"/>
    <w:rsid w:val="007770F7"/>
    <w:rsid w:val="007776D1"/>
    <w:rsid w:val="00780853"/>
    <w:rsid w:val="0078119E"/>
    <w:rsid w:val="00782601"/>
    <w:rsid w:val="00782C76"/>
    <w:rsid w:val="007833DC"/>
    <w:rsid w:val="00785115"/>
    <w:rsid w:val="007852BA"/>
    <w:rsid w:val="007854E3"/>
    <w:rsid w:val="00785906"/>
    <w:rsid w:val="0078618D"/>
    <w:rsid w:val="00790278"/>
    <w:rsid w:val="0079097B"/>
    <w:rsid w:val="007916C3"/>
    <w:rsid w:val="00791BCA"/>
    <w:rsid w:val="00791D1C"/>
    <w:rsid w:val="0079225A"/>
    <w:rsid w:val="007940E2"/>
    <w:rsid w:val="00795646"/>
    <w:rsid w:val="00797FD6"/>
    <w:rsid w:val="007A08A6"/>
    <w:rsid w:val="007A0E02"/>
    <w:rsid w:val="007A1B23"/>
    <w:rsid w:val="007A28DE"/>
    <w:rsid w:val="007A4753"/>
    <w:rsid w:val="007A526E"/>
    <w:rsid w:val="007A54B2"/>
    <w:rsid w:val="007A654D"/>
    <w:rsid w:val="007A67BB"/>
    <w:rsid w:val="007B0CBB"/>
    <w:rsid w:val="007B2AF2"/>
    <w:rsid w:val="007B2B03"/>
    <w:rsid w:val="007B47BF"/>
    <w:rsid w:val="007B4B68"/>
    <w:rsid w:val="007B6D2D"/>
    <w:rsid w:val="007C0032"/>
    <w:rsid w:val="007C1F19"/>
    <w:rsid w:val="007C22BE"/>
    <w:rsid w:val="007C3E7E"/>
    <w:rsid w:val="007C7FB9"/>
    <w:rsid w:val="007D09CE"/>
    <w:rsid w:val="007D1202"/>
    <w:rsid w:val="007D1A48"/>
    <w:rsid w:val="007D216D"/>
    <w:rsid w:val="007D3A6D"/>
    <w:rsid w:val="007D4EF9"/>
    <w:rsid w:val="007D5425"/>
    <w:rsid w:val="007D5DA8"/>
    <w:rsid w:val="007D5DE1"/>
    <w:rsid w:val="007D5F5B"/>
    <w:rsid w:val="007D6201"/>
    <w:rsid w:val="007D70D2"/>
    <w:rsid w:val="007E20DF"/>
    <w:rsid w:val="007E3300"/>
    <w:rsid w:val="007E3AAC"/>
    <w:rsid w:val="007E4502"/>
    <w:rsid w:val="007E4633"/>
    <w:rsid w:val="007E48E5"/>
    <w:rsid w:val="007E6952"/>
    <w:rsid w:val="007E70AF"/>
    <w:rsid w:val="007E787E"/>
    <w:rsid w:val="007F187A"/>
    <w:rsid w:val="007F1E88"/>
    <w:rsid w:val="007F2733"/>
    <w:rsid w:val="007F291A"/>
    <w:rsid w:val="007F5362"/>
    <w:rsid w:val="007F5E4E"/>
    <w:rsid w:val="007F6062"/>
    <w:rsid w:val="007F67F9"/>
    <w:rsid w:val="007F78C3"/>
    <w:rsid w:val="0080179A"/>
    <w:rsid w:val="00802E56"/>
    <w:rsid w:val="0080436E"/>
    <w:rsid w:val="00805943"/>
    <w:rsid w:val="0080645E"/>
    <w:rsid w:val="008065EC"/>
    <w:rsid w:val="008076FE"/>
    <w:rsid w:val="00807E25"/>
    <w:rsid w:val="0081257E"/>
    <w:rsid w:val="00813241"/>
    <w:rsid w:val="00813EA8"/>
    <w:rsid w:val="0081411B"/>
    <w:rsid w:val="00817E7D"/>
    <w:rsid w:val="00817FB4"/>
    <w:rsid w:val="008203A3"/>
    <w:rsid w:val="00820435"/>
    <w:rsid w:val="00822198"/>
    <w:rsid w:val="00822995"/>
    <w:rsid w:val="00823AB1"/>
    <w:rsid w:val="00826146"/>
    <w:rsid w:val="00826D56"/>
    <w:rsid w:val="00831C2B"/>
    <w:rsid w:val="00834BCD"/>
    <w:rsid w:val="0083552D"/>
    <w:rsid w:val="00835C77"/>
    <w:rsid w:val="008362BE"/>
    <w:rsid w:val="008363C6"/>
    <w:rsid w:val="00842561"/>
    <w:rsid w:val="00843247"/>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9BF"/>
    <w:rsid w:val="00874D35"/>
    <w:rsid w:val="0087513E"/>
    <w:rsid w:val="00876FDB"/>
    <w:rsid w:val="00880797"/>
    <w:rsid w:val="0088091B"/>
    <w:rsid w:val="0088136E"/>
    <w:rsid w:val="00881DA9"/>
    <w:rsid w:val="00886B80"/>
    <w:rsid w:val="0088749F"/>
    <w:rsid w:val="00887648"/>
    <w:rsid w:val="00891505"/>
    <w:rsid w:val="00891D63"/>
    <w:rsid w:val="00891EE9"/>
    <w:rsid w:val="00892440"/>
    <w:rsid w:val="008925C7"/>
    <w:rsid w:val="00892F61"/>
    <w:rsid w:val="0089309F"/>
    <w:rsid w:val="00893D47"/>
    <w:rsid w:val="00893F79"/>
    <w:rsid w:val="00895D29"/>
    <w:rsid w:val="0089771B"/>
    <w:rsid w:val="00897E39"/>
    <w:rsid w:val="008A05C2"/>
    <w:rsid w:val="008A1957"/>
    <w:rsid w:val="008A19EA"/>
    <w:rsid w:val="008A1CA3"/>
    <w:rsid w:val="008A22CB"/>
    <w:rsid w:val="008A449D"/>
    <w:rsid w:val="008A5A0F"/>
    <w:rsid w:val="008A7734"/>
    <w:rsid w:val="008A79C5"/>
    <w:rsid w:val="008A7CD4"/>
    <w:rsid w:val="008B0404"/>
    <w:rsid w:val="008B1BB5"/>
    <w:rsid w:val="008B39ED"/>
    <w:rsid w:val="008B3F01"/>
    <w:rsid w:val="008B4788"/>
    <w:rsid w:val="008B56B7"/>
    <w:rsid w:val="008B5B8D"/>
    <w:rsid w:val="008C1897"/>
    <w:rsid w:val="008C19FA"/>
    <w:rsid w:val="008C3295"/>
    <w:rsid w:val="008C3B60"/>
    <w:rsid w:val="008C4E1D"/>
    <w:rsid w:val="008C57BA"/>
    <w:rsid w:val="008C5B60"/>
    <w:rsid w:val="008C6474"/>
    <w:rsid w:val="008C78E2"/>
    <w:rsid w:val="008C79CD"/>
    <w:rsid w:val="008D00C0"/>
    <w:rsid w:val="008D171F"/>
    <w:rsid w:val="008D189E"/>
    <w:rsid w:val="008D1B98"/>
    <w:rsid w:val="008D365F"/>
    <w:rsid w:val="008D3863"/>
    <w:rsid w:val="008D3B4B"/>
    <w:rsid w:val="008D3DA8"/>
    <w:rsid w:val="008D4C34"/>
    <w:rsid w:val="008D7A7F"/>
    <w:rsid w:val="008E1B49"/>
    <w:rsid w:val="008E27E4"/>
    <w:rsid w:val="008E3460"/>
    <w:rsid w:val="008E470A"/>
    <w:rsid w:val="008E4A59"/>
    <w:rsid w:val="008E60EA"/>
    <w:rsid w:val="008E60F8"/>
    <w:rsid w:val="008E653B"/>
    <w:rsid w:val="008E671B"/>
    <w:rsid w:val="008E6A7F"/>
    <w:rsid w:val="008E6CE4"/>
    <w:rsid w:val="008E7B9D"/>
    <w:rsid w:val="008E7D7E"/>
    <w:rsid w:val="008F0539"/>
    <w:rsid w:val="008F11A4"/>
    <w:rsid w:val="008F1641"/>
    <w:rsid w:val="008F1ADC"/>
    <w:rsid w:val="008F1D11"/>
    <w:rsid w:val="008F26AE"/>
    <w:rsid w:val="008F2ADC"/>
    <w:rsid w:val="008F48F2"/>
    <w:rsid w:val="008F5363"/>
    <w:rsid w:val="008F6E57"/>
    <w:rsid w:val="008F76C4"/>
    <w:rsid w:val="0090017E"/>
    <w:rsid w:val="00900543"/>
    <w:rsid w:val="00901417"/>
    <w:rsid w:val="00901658"/>
    <w:rsid w:val="009017B9"/>
    <w:rsid w:val="00901DA1"/>
    <w:rsid w:val="0090307C"/>
    <w:rsid w:val="009030C6"/>
    <w:rsid w:val="0090450C"/>
    <w:rsid w:val="00904C26"/>
    <w:rsid w:val="009051CB"/>
    <w:rsid w:val="00906457"/>
    <w:rsid w:val="00907F83"/>
    <w:rsid w:val="00910746"/>
    <w:rsid w:val="00913355"/>
    <w:rsid w:val="00915844"/>
    <w:rsid w:val="00915F1D"/>
    <w:rsid w:val="00916926"/>
    <w:rsid w:val="00916F3F"/>
    <w:rsid w:val="00920430"/>
    <w:rsid w:val="00921FE8"/>
    <w:rsid w:val="00922AC5"/>
    <w:rsid w:val="00923194"/>
    <w:rsid w:val="00923C29"/>
    <w:rsid w:val="00923EE6"/>
    <w:rsid w:val="0092445E"/>
    <w:rsid w:val="00925483"/>
    <w:rsid w:val="0092629E"/>
    <w:rsid w:val="00926ADC"/>
    <w:rsid w:val="00927270"/>
    <w:rsid w:val="0093038E"/>
    <w:rsid w:val="009304ED"/>
    <w:rsid w:val="009304F1"/>
    <w:rsid w:val="009326F4"/>
    <w:rsid w:val="009327FB"/>
    <w:rsid w:val="00932B7E"/>
    <w:rsid w:val="00932EF3"/>
    <w:rsid w:val="009331EB"/>
    <w:rsid w:val="0093350A"/>
    <w:rsid w:val="00935241"/>
    <w:rsid w:val="0093721A"/>
    <w:rsid w:val="00937E7F"/>
    <w:rsid w:val="009425CA"/>
    <w:rsid w:val="009426CA"/>
    <w:rsid w:val="009436DB"/>
    <w:rsid w:val="00943715"/>
    <w:rsid w:val="00943DC1"/>
    <w:rsid w:val="00944B2C"/>
    <w:rsid w:val="00944BB1"/>
    <w:rsid w:val="009467E0"/>
    <w:rsid w:val="00946B2F"/>
    <w:rsid w:val="00947FA3"/>
    <w:rsid w:val="0095157D"/>
    <w:rsid w:val="009529F2"/>
    <w:rsid w:val="009539C7"/>
    <w:rsid w:val="00953B74"/>
    <w:rsid w:val="00954C4B"/>
    <w:rsid w:val="00955FA6"/>
    <w:rsid w:val="00956578"/>
    <w:rsid w:val="00956A92"/>
    <w:rsid w:val="00956D8E"/>
    <w:rsid w:val="00956EBC"/>
    <w:rsid w:val="00960990"/>
    <w:rsid w:val="00961B99"/>
    <w:rsid w:val="009624AB"/>
    <w:rsid w:val="00962CE0"/>
    <w:rsid w:val="0096352D"/>
    <w:rsid w:val="00964F06"/>
    <w:rsid w:val="00966606"/>
    <w:rsid w:val="0096699A"/>
    <w:rsid w:val="00966ED9"/>
    <w:rsid w:val="00970ED6"/>
    <w:rsid w:val="00971B9C"/>
    <w:rsid w:val="00973649"/>
    <w:rsid w:val="009759A4"/>
    <w:rsid w:val="00975BE2"/>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02F8"/>
    <w:rsid w:val="009B152F"/>
    <w:rsid w:val="009B408D"/>
    <w:rsid w:val="009B4C57"/>
    <w:rsid w:val="009B4F29"/>
    <w:rsid w:val="009B5895"/>
    <w:rsid w:val="009B6A4E"/>
    <w:rsid w:val="009B7347"/>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00FE"/>
    <w:rsid w:val="009F25FF"/>
    <w:rsid w:val="009F2C45"/>
    <w:rsid w:val="009F31C8"/>
    <w:rsid w:val="009F61E6"/>
    <w:rsid w:val="009F6FCE"/>
    <w:rsid w:val="009F7824"/>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346"/>
    <w:rsid w:val="00A247CA"/>
    <w:rsid w:val="00A24DA3"/>
    <w:rsid w:val="00A25BAF"/>
    <w:rsid w:val="00A300F9"/>
    <w:rsid w:val="00A309EA"/>
    <w:rsid w:val="00A31BE5"/>
    <w:rsid w:val="00A34D3D"/>
    <w:rsid w:val="00A370C3"/>
    <w:rsid w:val="00A37B16"/>
    <w:rsid w:val="00A412D8"/>
    <w:rsid w:val="00A4181C"/>
    <w:rsid w:val="00A41D41"/>
    <w:rsid w:val="00A424D7"/>
    <w:rsid w:val="00A440BD"/>
    <w:rsid w:val="00A4562F"/>
    <w:rsid w:val="00A45701"/>
    <w:rsid w:val="00A46354"/>
    <w:rsid w:val="00A50152"/>
    <w:rsid w:val="00A50306"/>
    <w:rsid w:val="00A50DAC"/>
    <w:rsid w:val="00A51977"/>
    <w:rsid w:val="00A51BCB"/>
    <w:rsid w:val="00A51E2D"/>
    <w:rsid w:val="00A53327"/>
    <w:rsid w:val="00A5540B"/>
    <w:rsid w:val="00A56960"/>
    <w:rsid w:val="00A56A92"/>
    <w:rsid w:val="00A56DF1"/>
    <w:rsid w:val="00A60E91"/>
    <w:rsid w:val="00A61561"/>
    <w:rsid w:val="00A631D6"/>
    <w:rsid w:val="00A63E02"/>
    <w:rsid w:val="00A641AC"/>
    <w:rsid w:val="00A648B8"/>
    <w:rsid w:val="00A652E2"/>
    <w:rsid w:val="00A6595C"/>
    <w:rsid w:val="00A65DAE"/>
    <w:rsid w:val="00A65FAC"/>
    <w:rsid w:val="00A6736B"/>
    <w:rsid w:val="00A67EB5"/>
    <w:rsid w:val="00A7096E"/>
    <w:rsid w:val="00A71EC5"/>
    <w:rsid w:val="00A723A4"/>
    <w:rsid w:val="00A7429D"/>
    <w:rsid w:val="00A746CC"/>
    <w:rsid w:val="00A76B10"/>
    <w:rsid w:val="00A76D22"/>
    <w:rsid w:val="00A7704C"/>
    <w:rsid w:val="00A7756B"/>
    <w:rsid w:val="00A7779A"/>
    <w:rsid w:val="00A779B2"/>
    <w:rsid w:val="00A77F53"/>
    <w:rsid w:val="00A8373D"/>
    <w:rsid w:val="00A84920"/>
    <w:rsid w:val="00A84E85"/>
    <w:rsid w:val="00A85002"/>
    <w:rsid w:val="00A86D4A"/>
    <w:rsid w:val="00A90C17"/>
    <w:rsid w:val="00A90D60"/>
    <w:rsid w:val="00A91031"/>
    <w:rsid w:val="00A92208"/>
    <w:rsid w:val="00A922EB"/>
    <w:rsid w:val="00A93235"/>
    <w:rsid w:val="00A933EC"/>
    <w:rsid w:val="00A9407B"/>
    <w:rsid w:val="00A95426"/>
    <w:rsid w:val="00A95C93"/>
    <w:rsid w:val="00A961C1"/>
    <w:rsid w:val="00A97296"/>
    <w:rsid w:val="00A975CB"/>
    <w:rsid w:val="00A9787A"/>
    <w:rsid w:val="00A97ABC"/>
    <w:rsid w:val="00A97C8F"/>
    <w:rsid w:val="00A97ECC"/>
    <w:rsid w:val="00AA32D2"/>
    <w:rsid w:val="00AA36DE"/>
    <w:rsid w:val="00AA43A8"/>
    <w:rsid w:val="00AA4B69"/>
    <w:rsid w:val="00AA78EC"/>
    <w:rsid w:val="00AB1D80"/>
    <w:rsid w:val="00AB30D7"/>
    <w:rsid w:val="00AB3BBD"/>
    <w:rsid w:val="00AB3FFA"/>
    <w:rsid w:val="00AB4215"/>
    <w:rsid w:val="00AB5917"/>
    <w:rsid w:val="00AB5F6C"/>
    <w:rsid w:val="00AB61A7"/>
    <w:rsid w:val="00AB7694"/>
    <w:rsid w:val="00AC0C67"/>
    <w:rsid w:val="00AC0F47"/>
    <w:rsid w:val="00AC1764"/>
    <w:rsid w:val="00AC1EF9"/>
    <w:rsid w:val="00AC2D6C"/>
    <w:rsid w:val="00AC3EBA"/>
    <w:rsid w:val="00AC4A85"/>
    <w:rsid w:val="00AC5A7B"/>
    <w:rsid w:val="00AC7108"/>
    <w:rsid w:val="00AD1118"/>
    <w:rsid w:val="00AD297E"/>
    <w:rsid w:val="00AD4AF0"/>
    <w:rsid w:val="00AD53E3"/>
    <w:rsid w:val="00AD7C7E"/>
    <w:rsid w:val="00AE0180"/>
    <w:rsid w:val="00AE07DB"/>
    <w:rsid w:val="00AE090C"/>
    <w:rsid w:val="00AE1052"/>
    <w:rsid w:val="00AE14FD"/>
    <w:rsid w:val="00AE1960"/>
    <w:rsid w:val="00AE19BA"/>
    <w:rsid w:val="00AE1EED"/>
    <w:rsid w:val="00AE295E"/>
    <w:rsid w:val="00AE2F57"/>
    <w:rsid w:val="00AE2FF9"/>
    <w:rsid w:val="00AE3C5F"/>
    <w:rsid w:val="00AE564D"/>
    <w:rsid w:val="00AE600E"/>
    <w:rsid w:val="00AE6124"/>
    <w:rsid w:val="00AF00AF"/>
    <w:rsid w:val="00AF1199"/>
    <w:rsid w:val="00AF1E0E"/>
    <w:rsid w:val="00AF3E0C"/>
    <w:rsid w:val="00AF3E57"/>
    <w:rsid w:val="00AF5876"/>
    <w:rsid w:val="00AF68D2"/>
    <w:rsid w:val="00AF787B"/>
    <w:rsid w:val="00B00C68"/>
    <w:rsid w:val="00B01868"/>
    <w:rsid w:val="00B03699"/>
    <w:rsid w:val="00B0411F"/>
    <w:rsid w:val="00B05AC3"/>
    <w:rsid w:val="00B07BE0"/>
    <w:rsid w:val="00B11134"/>
    <w:rsid w:val="00B11251"/>
    <w:rsid w:val="00B11B6E"/>
    <w:rsid w:val="00B122C2"/>
    <w:rsid w:val="00B1516C"/>
    <w:rsid w:val="00B1546E"/>
    <w:rsid w:val="00B17615"/>
    <w:rsid w:val="00B20472"/>
    <w:rsid w:val="00B20DFE"/>
    <w:rsid w:val="00B22C39"/>
    <w:rsid w:val="00B2310F"/>
    <w:rsid w:val="00B232FC"/>
    <w:rsid w:val="00B247F3"/>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993"/>
    <w:rsid w:val="00B43B74"/>
    <w:rsid w:val="00B4652E"/>
    <w:rsid w:val="00B46EF4"/>
    <w:rsid w:val="00B46FB9"/>
    <w:rsid w:val="00B50603"/>
    <w:rsid w:val="00B50971"/>
    <w:rsid w:val="00B51D14"/>
    <w:rsid w:val="00B5274C"/>
    <w:rsid w:val="00B53076"/>
    <w:rsid w:val="00B53F6F"/>
    <w:rsid w:val="00B553EF"/>
    <w:rsid w:val="00B56801"/>
    <w:rsid w:val="00B568F2"/>
    <w:rsid w:val="00B6110E"/>
    <w:rsid w:val="00B65917"/>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852"/>
    <w:rsid w:val="00B84988"/>
    <w:rsid w:val="00B84E3B"/>
    <w:rsid w:val="00B857BE"/>
    <w:rsid w:val="00B8584C"/>
    <w:rsid w:val="00B8669E"/>
    <w:rsid w:val="00B86E2B"/>
    <w:rsid w:val="00B8799F"/>
    <w:rsid w:val="00B90834"/>
    <w:rsid w:val="00B90EF4"/>
    <w:rsid w:val="00B91EEF"/>
    <w:rsid w:val="00B92845"/>
    <w:rsid w:val="00B92EA7"/>
    <w:rsid w:val="00B93A11"/>
    <w:rsid w:val="00B946C4"/>
    <w:rsid w:val="00B961BC"/>
    <w:rsid w:val="00B96DDC"/>
    <w:rsid w:val="00B979D9"/>
    <w:rsid w:val="00BA0453"/>
    <w:rsid w:val="00BA077D"/>
    <w:rsid w:val="00BA08BE"/>
    <w:rsid w:val="00BA2CFF"/>
    <w:rsid w:val="00BA3892"/>
    <w:rsid w:val="00BA5272"/>
    <w:rsid w:val="00BA663C"/>
    <w:rsid w:val="00BA6BE6"/>
    <w:rsid w:val="00BB18FC"/>
    <w:rsid w:val="00BB327B"/>
    <w:rsid w:val="00BB3286"/>
    <w:rsid w:val="00BB45AF"/>
    <w:rsid w:val="00BB485C"/>
    <w:rsid w:val="00BB5421"/>
    <w:rsid w:val="00BB5695"/>
    <w:rsid w:val="00BB630C"/>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F0"/>
    <w:rsid w:val="00BE3AC6"/>
    <w:rsid w:val="00BE3B7B"/>
    <w:rsid w:val="00BE3E35"/>
    <w:rsid w:val="00BE445B"/>
    <w:rsid w:val="00BE4967"/>
    <w:rsid w:val="00BE4A8B"/>
    <w:rsid w:val="00BE54A7"/>
    <w:rsid w:val="00BE6705"/>
    <w:rsid w:val="00BE6D7C"/>
    <w:rsid w:val="00BF282D"/>
    <w:rsid w:val="00BF500A"/>
    <w:rsid w:val="00BF59EB"/>
    <w:rsid w:val="00BF60DC"/>
    <w:rsid w:val="00BF6288"/>
    <w:rsid w:val="00BF7DCF"/>
    <w:rsid w:val="00C0121E"/>
    <w:rsid w:val="00C02F4E"/>
    <w:rsid w:val="00C03D74"/>
    <w:rsid w:val="00C04AEA"/>
    <w:rsid w:val="00C06602"/>
    <w:rsid w:val="00C06DA4"/>
    <w:rsid w:val="00C07CD9"/>
    <w:rsid w:val="00C11241"/>
    <w:rsid w:val="00C116AA"/>
    <w:rsid w:val="00C14419"/>
    <w:rsid w:val="00C14A6A"/>
    <w:rsid w:val="00C16D67"/>
    <w:rsid w:val="00C16FFB"/>
    <w:rsid w:val="00C17858"/>
    <w:rsid w:val="00C17CFA"/>
    <w:rsid w:val="00C201CE"/>
    <w:rsid w:val="00C20B5F"/>
    <w:rsid w:val="00C20D68"/>
    <w:rsid w:val="00C2172D"/>
    <w:rsid w:val="00C2201B"/>
    <w:rsid w:val="00C24CE1"/>
    <w:rsid w:val="00C25390"/>
    <w:rsid w:val="00C253AD"/>
    <w:rsid w:val="00C26745"/>
    <w:rsid w:val="00C26BC3"/>
    <w:rsid w:val="00C30609"/>
    <w:rsid w:val="00C30FA4"/>
    <w:rsid w:val="00C31249"/>
    <w:rsid w:val="00C31EBC"/>
    <w:rsid w:val="00C321BA"/>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36E7"/>
    <w:rsid w:val="00C5665E"/>
    <w:rsid w:val="00C61BD0"/>
    <w:rsid w:val="00C61F86"/>
    <w:rsid w:val="00C62802"/>
    <w:rsid w:val="00C63976"/>
    <w:rsid w:val="00C64EBC"/>
    <w:rsid w:val="00C66014"/>
    <w:rsid w:val="00C67A5C"/>
    <w:rsid w:val="00C70785"/>
    <w:rsid w:val="00C70C5C"/>
    <w:rsid w:val="00C71294"/>
    <w:rsid w:val="00C7145D"/>
    <w:rsid w:val="00C725BD"/>
    <w:rsid w:val="00C733D9"/>
    <w:rsid w:val="00C73431"/>
    <w:rsid w:val="00C735A1"/>
    <w:rsid w:val="00C73694"/>
    <w:rsid w:val="00C763E6"/>
    <w:rsid w:val="00C77F42"/>
    <w:rsid w:val="00C77F4D"/>
    <w:rsid w:val="00C80B84"/>
    <w:rsid w:val="00C81BD7"/>
    <w:rsid w:val="00C82381"/>
    <w:rsid w:val="00C835D1"/>
    <w:rsid w:val="00C83646"/>
    <w:rsid w:val="00C84365"/>
    <w:rsid w:val="00C867C5"/>
    <w:rsid w:val="00C86A01"/>
    <w:rsid w:val="00C86C2A"/>
    <w:rsid w:val="00C879C2"/>
    <w:rsid w:val="00C91038"/>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3ADA"/>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0565"/>
    <w:rsid w:val="00CD128F"/>
    <w:rsid w:val="00CD371C"/>
    <w:rsid w:val="00CD53A1"/>
    <w:rsid w:val="00CD6482"/>
    <w:rsid w:val="00CE0A58"/>
    <w:rsid w:val="00CE0D19"/>
    <w:rsid w:val="00CE271C"/>
    <w:rsid w:val="00CE54A0"/>
    <w:rsid w:val="00CE60BF"/>
    <w:rsid w:val="00CE6EAE"/>
    <w:rsid w:val="00CE7088"/>
    <w:rsid w:val="00CF2A8F"/>
    <w:rsid w:val="00CF30D2"/>
    <w:rsid w:val="00CF4C56"/>
    <w:rsid w:val="00CF6E0B"/>
    <w:rsid w:val="00CF7136"/>
    <w:rsid w:val="00D00B51"/>
    <w:rsid w:val="00D01CBA"/>
    <w:rsid w:val="00D02A87"/>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DF"/>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1B6"/>
    <w:rsid w:val="00D65CDF"/>
    <w:rsid w:val="00D672C1"/>
    <w:rsid w:val="00D672C2"/>
    <w:rsid w:val="00D71794"/>
    <w:rsid w:val="00D71826"/>
    <w:rsid w:val="00D71BCF"/>
    <w:rsid w:val="00D72AC1"/>
    <w:rsid w:val="00D73687"/>
    <w:rsid w:val="00D7370E"/>
    <w:rsid w:val="00D7493C"/>
    <w:rsid w:val="00D75C1B"/>
    <w:rsid w:val="00D76372"/>
    <w:rsid w:val="00D77783"/>
    <w:rsid w:val="00D7790D"/>
    <w:rsid w:val="00D77F9C"/>
    <w:rsid w:val="00D80C87"/>
    <w:rsid w:val="00D81AEC"/>
    <w:rsid w:val="00D81F2F"/>
    <w:rsid w:val="00D822F0"/>
    <w:rsid w:val="00D8261A"/>
    <w:rsid w:val="00D82C84"/>
    <w:rsid w:val="00D8347D"/>
    <w:rsid w:val="00D84205"/>
    <w:rsid w:val="00D850D0"/>
    <w:rsid w:val="00D869EF"/>
    <w:rsid w:val="00D87E14"/>
    <w:rsid w:val="00D87FF4"/>
    <w:rsid w:val="00D91DAF"/>
    <w:rsid w:val="00D921FD"/>
    <w:rsid w:val="00D92DF2"/>
    <w:rsid w:val="00D92FC3"/>
    <w:rsid w:val="00D9321E"/>
    <w:rsid w:val="00D956AE"/>
    <w:rsid w:val="00D96D76"/>
    <w:rsid w:val="00D9750F"/>
    <w:rsid w:val="00DA043C"/>
    <w:rsid w:val="00DA0C72"/>
    <w:rsid w:val="00DA18EC"/>
    <w:rsid w:val="00DA3B74"/>
    <w:rsid w:val="00DA5497"/>
    <w:rsid w:val="00DA5ED0"/>
    <w:rsid w:val="00DA62A8"/>
    <w:rsid w:val="00DA68F0"/>
    <w:rsid w:val="00DB0028"/>
    <w:rsid w:val="00DB0A56"/>
    <w:rsid w:val="00DC2374"/>
    <w:rsid w:val="00DC2DAB"/>
    <w:rsid w:val="00DC2E14"/>
    <w:rsid w:val="00DC33DF"/>
    <w:rsid w:val="00DC4095"/>
    <w:rsid w:val="00DC4176"/>
    <w:rsid w:val="00DC55C2"/>
    <w:rsid w:val="00DC5BAB"/>
    <w:rsid w:val="00DC68C0"/>
    <w:rsid w:val="00DC6DC6"/>
    <w:rsid w:val="00DC7CF7"/>
    <w:rsid w:val="00DD249C"/>
    <w:rsid w:val="00DD2CB7"/>
    <w:rsid w:val="00DD3E26"/>
    <w:rsid w:val="00DD53B0"/>
    <w:rsid w:val="00DE1154"/>
    <w:rsid w:val="00DE1689"/>
    <w:rsid w:val="00DE2140"/>
    <w:rsid w:val="00DE36B9"/>
    <w:rsid w:val="00DE48AB"/>
    <w:rsid w:val="00DE4C0D"/>
    <w:rsid w:val="00DE4FDB"/>
    <w:rsid w:val="00DE560B"/>
    <w:rsid w:val="00DE560E"/>
    <w:rsid w:val="00DE6E09"/>
    <w:rsid w:val="00DF1523"/>
    <w:rsid w:val="00DF2439"/>
    <w:rsid w:val="00DF4C29"/>
    <w:rsid w:val="00DF5662"/>
    <w:rsid w:val="00DF5A48"/>
    <w:rsid w:val="00DF5E51"/>
    <w:rsid w:val="00E01BAB"/>
    <w:rsid w:val="00E02C7F"/>
    <w:rsid w:val="00E0474A"/>
    <w:rsid w:val="00E0546E"/>
    <w:rsid w:val="00E0686F"/>
    <w:rsid w:val="00E06D47"/>
    <w:rsid w:val="00E078A6"/>
    <w:rsid w:val="00E1060B"/>
    <w:rsid w:val="00E113DE"/>
    <w:rsid w:val="00E116BE"/>
    <w:rsid w:val="00E12A28"/>
    <w:rsid w:val="00E13409"/>
    <w:rsid w:val="00E13456"/>
    <w:rsid w:val="00E14144"/>
    <w:rsid w:val="00E1717E"/>
    <w:rsid w:val="00E206C8"/>
    <w:rsid w:val="00E21946"/>
    <w:rsid w:val="00E21BE9"/>
    <w:rsid w:val="00E2209B"/>
    <w:rsid w:val="00E24454"/>
    <w:rsid w:val="00E25268"/>
    <w:rsid w:val="00E2549A"/>
    <w:rsid w:val="00E2685A"/>
    <w:rsid w:val="00E30C23"/>
    <w:rsid w:val="00E3256E"/>
    <w:rsid w:val="00E33FE8"/>
    <w:rsid w:val="00E34241"/>
    <w:rsid w:val="00E35AD5"/>
    <w:rsid w:val="00E36C1A"/>
    <w:rsid w:val="00E40567"/>
    <w:rsid w:val="00E40BAF"/>
    <w:rsid w:val="00E41650"/>
    <w:rsid w:val="00E41902"/>
    <w:rsid w:val="00E4217B"/>
    <w:rsid w:val="00E429AD"/>
    <w:rsid w:val="00E42E7F"/>
    <w:rsid w:val="00E4371C"/>
    <w:rsid w:val="00E44593"/>
    <w:rsid w:val="00E44B7D"/>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37B"/>
    <w:rsid w:val="00E60E45"/>
    <w:rsid w:val="00E6161B"/>
    <w:rsid w:val="00E61EB7"/>
    <w:rsid w:val="00E62F28"/>
    <w:rsid w:val="00E63898"/>
    <w:rsid w:val="00E66E51"/>
    <w:rsid w:val="00E7054D"/>
    <w:rsid w:val="00E70AC6"/>
    <w:rsid w:val="00E7113C"/>
    <w:rsid w:val="00E726D8"/>
    <w:rsid w:val="00E72B05"/>
    <w:rsid w:val="00E731B2"/>
    <w:rsid w:val="00E745E8"/>
    <w:rsid w:val="00E76428"/>
    <w:rsid w:val="00E764FD"/>
    <w:rsid w:val="00E76C0F"/>
    <w:rsid w:val="00E775E1"/>
    <w:rsid w:val="00E805FB"/>
    <w:rsid w:val="00E82BFF"/>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C9B"/>
    <w:rsid w:val="00EB0F36"/>
    <w:rsid w:val="00EB1018"/>
    <w:rsid w:val="00EB3E17"/>
    <w:rsid w:val="00EB5767"/>
    <w:rsid w:val="00EB5C69"/>
    <w:rsid w:val="00EB7362"/>
    <w:rsid w:val="00EB7570"/>
    <w:rsid w:val="00EC0BFB"/>
    <w:rsid w:val="00EC2DC3"/>
    <w:rsid w:val="00EC3109"/>
    <w:rsid w:val="00EC3366"/>
    <w:rsid w:val="00EC3578"/>
    <w:rsid w:val="00EC5916"/>
    <w:rsid w:val="00EC6778"/>
    <w:rsid w:val="00EC6A13"/>
    <w:rsid w:val="00ED1B72"/>
    <w:rsid w:val="00ED1E94"/>
    <w:rsid w:val="00ED37E5"/>
    <w:rsid w:val="00ED422F"/>
    <w:rsid w:val="00ED6B01"/>
    <w:rsid w:val="00ED786E"/>
    <w:rsid w:val="00ED79A5"/>
    <w:rsid w:val="00EE0CB0"/>
    <w:rsid w:val="00EE0E05"/>
    <w:rsid w:val="00EE3D3A"/>
    <w:rsid w:val="00EE5AF8"/>
    <w:rsid w:val="00EE66E0"/>
    <w:rsid w:val="00EE68B9"/>
    <w:rsid w:val="00EE7620"/>
    <w:rsid w:val="00EE7FD5"/>
    <w:rsid w:val="00EF257A"/>
    <w:rsid w:val="00EF6874"/>
    <w:rsid w:val="00EF6F87"/>
    <w:rsid w:val="00F00737"/>
    <w:rsid w:val="00F00F64"/>
    <w:rsid w:val="00F03753"/>
    <w:rsid w:val="00F03B50"/>
    <w:rsid w:val="00F054C9"/>
    <w:rsid w:val="00F05768"/>
    <w:rsid w:val="00F059C2"/>
    <w:rsid w:val="00F06C3F"/>
    <w:rsid w:val="00F1074F"/>
    <w:rsid w:val="00F10A6C"/>
    <w:rsid w:val="00F11DC3"/>
    <w:rsid w:val="00F11E31"/>
    <w:rsid w:val="00F12F1B"/>
    <w:rsid w:val="00F1449E"/>
    <w:rsid w:val="00F148C1"/>
    <w:rsid w:val="00F149E2"/>
    <w:rsid w:val="00F14D7B"/>
    <w:rsid w:val="00F202E0"/>
    <w:rsid w:val="00F203ED"/>
    <w:rsid w:val="00F21600"/>
    <w:rsid w:val="00F22360"/>
    <w:rsid w:val="00F228EC"/>
    <w:rsid w:val="00F23548"/>
    <w:rsid w:val="00F25920"/>
    <w:rsid w:val="00F25F42"/>
    <w:rsid w:val="00F265A4"/>
    <w:rsid w:val="00F27FF4"/>
    <w:rsid w:val="00F303DD"/>
    <w:rsid w:val="00F312B7"/>
    <w:rsid w:val="00F320AC"/>
    <w:rsid w:val="00F3435D"/>
    <w:rsid w:val="00F3495F"/>
    <w:rsid w:val="00F3518D"/>
    <w:rsid w:val="00F351CB"/>
    <w:rsid w:val="00F362BB"/>
    <w:rsid w:val="00F36B0A"/>
    <w:rsid w:val="00F36DF7"/>
    <w:rsid w:val="00F3781A"/>
    <w:rsid w:val="00F41539"/>
    <w:rsid w:val="00F41CEE"/>
    <w:rsid w:val="00F41E79"/>
    <w:rsid w:val="00F42D26"/>
    <w:rsid w:val="00F4304E"/>
    <w:rsid w:val="00F44C6A"/>
    <w:rsid w:val="00F450B9"/>
    <w:rsid w:val="00F462BA"/>
    <w:rsid w:val="00F500E0"/>
    <w:rsid w:val="00F50CA4"/>
    <w:rsid w:val="00F50F9A"/>
    <w:rsid w:val="00F520BA"/>
    <w:rsid w:val="00F535CA"/>
    <w:rsid w:val="00F54244"/>
    <w:rsid w:val="00F559EC"/>
    <w:rsid w:val="00F55B79"/>
    <w:rsid w:val="00F55FA5"/>
    <w:rsid w:val="00F56A0F"/>
    <w:rsid w:val="00F57327"/>
    <w:rsid w:val="00F57500"/>
    <w:rsid w:val="00F57517"/>
    <w:rsid w:val="00F5796C"/>
    <w:rsid w:val="00F57AEB"/>
    <w:rsid w:val="00F601F4"/>
    <w:rsid w:val="00F6076E"/>
    <w:rsid w:val="00F61233"/>
    <w:rsid w:val="00F61252"/>
    <w:rsid w:val="00F61F59"/>
    <w:rsid w:val="00F637CA"/>
    <w:rsid w:val="00F644FE"/>
    <w:rsid w:val="00F66807"/>
    <w:rsid w:val="00F67398"/>
    <w:rsid w:val="00F72DFC"/>
    <w:rsid w:val="00F73E96"/>
    <w:rsid w:val="00F74965"/>
    <w:rsid w:val="00F75DC6"/>
    <w:rsid w:val="00F75F54"/>
    <w:rsid w:val="00F76C23"/>
    <w:rsid w:val="00F7752F"/>
    <w:rsid w:val="00F808D1"/>
    <w:rsid w:val="00F8201A"/>
    <w:rsid w:val="00F839EC"/>
    <w:rsid w:val="00F83C0A"/>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4F70"/>
    <w:rsid w:val="00FB610F"/>
    <w:rsid w:val="00FB6FA5"/>
    <w:rsid w:val="00FB74B9"/>
    <w:rsid w:val="00FB786A"/>
    <w:rsid w:val="00FC0D06"/>
    <w:rsid w:val="00FC10CF"/>
    <w:rsid w:val="00FC1911"/>
    <w:rsid w:val="00FC1B48"/>
    <w:rsid w:val="00FC34D1"/>
    <w:rsid w:val="00FC3966"/>
    <w:rsid w:val="00FC69A4"/>
    <w:rsid w:val="00FD0615"/>
    <w:rsid w:val="00FD1F84"/>
    <w:rsid w:val="00FD2639"/>
    <w:rsid w:val="00FD47B7"/>
    <w:rsid w:val="00FD553D"/>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609D"/>
    <w:rsid w:val="00FF7849"/>
    <w:rsid w:val="0103F58D"/>
    <w:rsid w:val="012360B6"/>
    <w:rsid w:val="0148EC7C"/>
    <w:rsid w:val="01A5B91B"/>
    <w:rsid w:val="02F29DB5"/>
    <w:rsid w:val="032B640C"/>
    <w:rsid w:val="046C1D7A"/>
    <w:rsid w:val="052E6240"/>
    <w:rsid w:val="054D78D2"/>
    <w:rsid w:val="05C65BD5"/>
    <w:rsid w:val="07274FB6"/>
    <w:rsid w:val="07A9B5B0"/>
    <w:rsid w:val="08A9F7BA"/>
    <w:rsid w:val="08DA1D65"/>
    <w:rsid w:val="08F43E18"/>
    <w:rsid w:val="0A5E5900"/>
    <w:rsid w:val="0B55035A"/>
    <w:rsid w:val="0BE2A8A9"/>
    <w:rsid w:val="0C5C2D99"/>
    <w:rsid w:val="0CF6A328"/>
    <w:rsid w:val="0D48E377"/>
    <w:rsid w:val="0D610FB5"/>
    <w:rsid w:val="0E5BA984"/>
    <w:rsid w:val="0E794B2C"/>
    <w:rsid w:val="0EC8A149"/>
    <w:rsid w:val="0F0FDBD9"/>
    <w:rsid w:val="0F22BA5B"/>
    <w:rsid w:val="103AF5D2"/>
    <w:rsid w:val="10532210"/>
    <w:rsid w:val="106B1B7D"/>
    <w:rsid w:val="106C3C7C"/>
    <w:rsid w:val="11BB8E0A"/>
    <w:rsid w:val="11F01370"/>
    <w:rsid w:val="123643E7"/>
    <w:rsid w:val="1286C127"/>
    <w:rsid w:val="131836E9"/>
    <w:rsid w:val="1345346B"/>
    <w:rsid w:val="1353F046"/>
    <w:rsid w:val="141BA11C"/>
    <w:rsid w:val="14D4975A"/>
    <w:rsid w:val="16227582"/>
    <w:rsid w:val="17334939"/>
    <w:rsid w:val="188A0287"/>
    <w:rsid w:val="18AA7627"/>
    <w:rsid w:val="18E78A5B"/>
    <w:rsid w:val="1B033005"/>
    <w:rsid w:val="1BE8AC7E"/>
    <w:rsid w:val="1C8B5021"/>
    <w:rsid w:val="1D61BCD2"/>
    <w:rsid w:val="1D834DEF"/>
    <w:rsid w:val="1E5F5F09"/>
    <w:rsid w:val="1E86B822"/>
    <w:rsid w:val="1F0F59FD"/>
    <w:rsid w:val="20AC9F90"/>
    <w:rsid w:val="210FF282"/>
    <w:rsid w:val="21559D34"/>
    <w:rsid w:val="21A91281"/>
    <w:rsid w:val="21C3A442"/>
    <w:rsid w:val="21CDB25D"/>
    <w:rsid w:val="22A00951"/>
    <w:rsid w:val="22B46BC6"/>
    <w:rsid w:val="22C12B9F"/>
    <w:rsid w:val="2504EED0"/>
    <w:rsid w:val="2575E1F5"/>
    <w:rsid w:val="25DE2BB0"/>
    <w:rsid w:val="25FB2302"/>
    <w:rsid w:val="262FE278"/>
    <w:rsid w:val="2631D495"/>
    <w:rsid w:val="267E45B7"/>
    <w:rsid w:val="26971976"/>
    <w:rsid w:val="26C37F80"/>
    <w:rsid w:val="271A6BE2"/>
    <w:rsid w:val="273B5E16"/>
    <w:rsid w:val="27481DEF"/>
    <w:rsid w:val="27949CC2"/>
    <w:rsid w:val="28E485C8"/>
    <w:rsid w:val="29065FC2"/>
    <w:rsid w:val="2921F4D3"/>
    <w:rsid w:val="296041EF"/>
    <w:rsid w:val="2996FCD5"/>
    <w:rsid w:val="2AFBCBB7"/>
    <w:rsid w:val="2B28C939"/>
    <w:rsid w:val="2B3D9A7D"/>
    <w:rsid w:val="2B4FD26E"/>
    <w:rsid w:val="2CA8A1C0"/>
    <w:rsid w:val="2CC5BA99"/>
    <w:rsid w:val="2D47DDA5"/>
    <w:rsid w:val="2DA89E2A"/>
    <w:rsid w:val="2DD56922"/>
    <w:rsid w:val="2E1ADB94"/>
    <w:rsid w:val="2E2B33AB"/>
    <w:rsid w:val="2E2FC3EF"/>
    <w:rsid w:val="2E6EE24B"/>
    <w:rsid w:val="2E86DBB8"/>
    <w:rsid w:val="2F6735D0"/>
    <w:rsid w:val="2F931182"/>
    <w:rsid w:val="2FBC64B5"/>
    <w:rsid w:val="3036813E"/>
    <w:rsid w:val="304096D7"/>
    <w:rsid w:val="309AF97E"/>
    <w:rsid w:val="30B325BC"/>
    <w:rsid w:val="3114967D"/>
    <w:rsid w:val="31B5111B"/>
    <w:rsid w:val="32746B66"/>
    <w:rsid w:val="32A258A2"/>
    <w:rsid w:val="338C9412"/>
    <w:rsid w:val="338D0BD9"/>
    <w:rsid w:val="33A53817"/>
    <w:rsid w:val="33B71F29"/>
    <w:rsid w:val="33EA2F06"/>
    <w:rsid w:val="3483B633"/>
    <w:rsid w:val="34D03A75"/>
    <w:rsid w:val="3545C06F"/>
    <w:rsid w:val="35D8D72E"/>
    <w:rsid w:val="36528D6E"/>
    <w:rsid w:val="374C8FF0"/>
    <w:rsid w:val="379AB4A5"/>
    <w:rsid w:val="37E0D6A0"/>
    <w:rsid w:val="3811DF7B"/>
    <w:rsid w:val="389E0C36"/>
    <w:rsid w:val="395C5F4B"/>
    <w:rsid w:val="39748B89"/>
    <w:rsid w:val="39895CCD"/>
    <w:rsid w:val="39F7D080"/>
    <w:rsid w:val="3AB1BD96"/>
    <w:rsid w:val="3B6333B1"/>
    <w:rsid w:val="3C4E71A6"/>
    <w:rsid w:val="3E17933A"/>
    <w:rsid w:val="3EA94CC3"/>
    <w:rsid w:val="3EE6BBCE"/>
    <w:rsid w:val="41599058"/>
    <w:rsid w:val="422CD4E0"/>
    <w:rsid w:val="426FF8CE"/>
    <w:rsid w:val="43212F4B"/>
    <w:rsid w:val="43253585"/>
    <w:rsid w:val="4366263A"/>
    <w:rsid w:val="43A6EB7B"/>
    <w:rsid w:val="43E4AF80"/>
    <w:rsid w:val="45442C3C"/>
    <w:rsid w:val="45CE4AB7"/>
    <w:rsid w:val="46249A65"/>
    <w:rsid w:val="46BCE3A6"/>
    <w:rsid w:val="46C4BA09"/>
    <w:rsid w:val="46D1B4EA"/>
    <w:rsid w:val="475B5F35"/>
    <w:rsid w:val="47A8219B"/>
    <w:rsid w:val="4813B96B"/>
    <w:rsid w:val="49448974"/>
    <w:rsid w:val="498DE2DB"/>
    <w:rsid w:val="49C50BF3"/>
    <w:rsid w:val="4A487D2E"/>
    <w:rsid w:val="4B60DC54"/>
    <w:rsid w:val="4B980BC5"/>
    <w:rsid w:val="4BE29518"/>
    <w:rsid w:val="4E17C6FE"/>
    <w:rsid w:val="4EA7A9F1"/>
    <w:rsid w:val="4F7E4973"/>
    <w:rsid w:val="50282AD4"/>
    <w:rsid w:val="50578EE8"/>
    <w:rsid w:val="506AA030"/>
    <w:rsid w:val="516CF19B"/>
    <w:rsid w:val="51C0F852"/>
    <w:rsid w:val="526FF46E"/>
    <w:rsid w:val="529E185E"/>
    <w:rsid w:val="5346C87F"/>
    <w:rsid w:val="551D773A"/>
    <w:rsid w:val="56A38EFB"/>
    <w:rsid w:val="579BD3C1"/>
    <w:rsid w:val="57CF4A9D"/>
    <w:rsid w:val="57D5418B"/>
    <w:rsid w:val="583692CA"/>
    <w:rsid w:val="587C4A60"/>
    <w:rsid w:val="59021753"/>
    <w:rsid w:val="59AFA31E"/>
    <w:rsid w:val="59E96079"/>
    <w:rsid w:val="5A6312C6"/>
    <w:rsid w:val="5B5DD7C1"/>
    <w:rsid w:val="5B5EDD92"/>
    <w:rsid w:val="5CAE7552"/>
    <w:rsid w:val="5D027C09"/>
    <w:rsid w:val="5D82038E"/>
    <w:rsid w:val="5EB549B8"/>
    <w:rsid w:val="5F6C8397"/>
    <w:rsid w:val="5F8BB669"/>
    <w:rsid w:val="5FEF2595"/>
    <w:rsid w:val="6008A180"/>
    <w:rsid w:val="60E32753"/>
    <w:rsid w:val="61A75C13"/>
    <w:rsid w:val="62752870"/>
    <w:rsid w:val="63D539AE"/>
    <w:rsid w:val="640C7DF2"/>
    <w:rsid w:val="641A309D"/>
    <w:rsid w:val="64579FA8"/>
    <w:rsid w:val="64DAC6DF"/>
    <w:rsid w:val="64F195A4"/>
    <w:rsid w:val="66734552"/>
    <w:rsid w:val="66B83C41"/>
    <w:rsid w:val="681A0D7F"/>
    <w:rsid w:val="692060BE"/>
    <w:rsid w:val="696557AD"/>
    <w:rsid w:val="69A48D20"/>
    <w:rsid w:val="69A89203"/>
    <w:rsid w:val="6A23CAF1"/>
    <w:rsid w:val="6B24FCAF"/>
    <w:rsid w:val="6B3F2E91"/>
    <w:rsid w:val="6B434F2A"/>
    <w:rsid w:val="6BD0A453"/>
    <w:rsid w:val="6BF3ED0C"/>
    <w:rsid w:val="6C1624C9"/>
    <w:rsid w:val="6C741990"/>
    <w:rsid w:val="6CB08430"/>
    <w:rsid w:val="6CE8DFCA"/>
    <w:rsid w:val="6D4620D7"/>
    <w:rsid w:val="6D72CDA8"/>
    <w:rsid w:val="6DEC49FD"/>
    <w:rsid w:val="6E3E4CA9"/>
    <w:rsid w:val="6E6A23B6"/>
    <w:rsid w:val="6F24D10E"/>
    <w:rsid w:val="6F2F732A"/>
    <w:rsid w:val="6F34AB1F"/>
    <w:rsid w:val="6FC620E1"/>
    <w:rsid w:val="709256DC"/>
    <w:rsid w:val="70B190A9"/>
    <w:rsid w:val="71AAFBAA"/>
    <w:rsid w:val="7220FBFE"/>
    <w:rsid w:val="727AC431"/>
    <w:rsid w:val="72D05F7A"/>
    <w:rsid w:val="72D70002"/>
    <w:rsid w:val="736DD299"/>
    <w:rsid w:val="73D93341"/>
    <w:rsid w:val="75C271D5"/>
    <w:rsid w:val="765BF902"/>
    <w:rsid w:val="7709EDF3"/>
    <w:rsid w:val="77412AE4"/>
    <w:rsid w:val="7811920E"/>
    <w:rsid w:val="78B8A338"/>
    <w:rsid w:val="78D56E65"/>
    <w:rsid w:val="7AC7C7AB"/>
    <w:rsid w:val="7B1310FD"/>
    <w:rsid w:val="7C64B9EB"/>
    <w:rsid w:val="7D624B3D"/>
    <w:rsid w:val="7E6FBF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88AD148C-EC13-4C14-858A-DA294B0C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915"/>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uiPriority w:val="22"/>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ragraph">
    <w:name w:val="paragraph"/>
    <w:basedOn w:val="Normal"/>
    <w:rsid w:val="008749BF"/>
    <w:pPr>
      <w:overflowPunct/>
      <w:autoSpaceDE/>
      <w:autoSpaceDN/>
      <w:adjustRightInd/>
      <w:spacing w:before="100" w:beforeAutospacing="1" w:after="100" w:afterAutospacing="1"/>
      <w:textAlignment w:val="auto"/>
    </w:pPr>
    <w:rPr>
      <w:sz w:val="24"/>
      <w:szCs w:val="24"/>
      <w:lang w:val="en-US"/>
    </w:rPr>
  </w:style>
  <w:style w:type="paragraph" w:customStyle="1" w:styleId="msonormal0">
    <w:name w:val="msonormal"/>
    <w:basedOn w:val="Normal"/>
    <w:rsid w:val="00DA62A8"/>
    <w:pPr>
      <w:overflowPunct/>
      <w:autoSpaceDE/>
      <w:autoSpaceDN/>
      <w:adjustRightInd/>
      <w:spacing w:before="100" w:beforeAutospacing="1" w:after="100" w:afterAutospacing="1"/>
      <w:textAlignment w:val="auto"/>
    </w:pPr>
    <w:rPr>
      <w:sz w:val="24"/>
      <w:szCs w:val="24"/>
      <w:lang w:val="en-US"/>
    </w:rPr>
  </w:style>
  <w:style w:type="paragraph" w:customStyle="1" w:styleId="xl65">
    <w:name w:val="xl65"/>
    <w:basedOn w:val="Normal"/>
    <w:rsid w:val="00DA62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lang w:val="en-US"/>
    </w:rPr>
  </w:style>
  <w:style w:type="paragraph" w:customStyle="1" w:styleId="xl66">
    <w:name w:val="xl66"/>
    <w:basedOn w:val="Normal"/>
    <w:rsid w:val="00DA62A8"/>
    <w:pPr>
      <w:pBdr>
        <w:top w:val="single" w:sz="4" w:space="0" w:color="auto"/>
        <w:left w:val="single" w:sz="4" w:space="0" w:color="auto"/>
        <w:bottom w:val="single" w:sz="4" w:space="0" w:color="auto"/>
        <w:right w:val="single" w:sz="4" w:space="0" w:color="auto"/>
      </w:pBdr>
      <w:shd w:val="clear" w:color="000000" w:fill="AEAAAA"/>
      <w:overflowPunct/>
      <w:autoSpaceDE/>
      <w:autoSpaceDN/>
      <w:adjustRightInd/>
      <w:spacing w:before="100" w:beforeAutospacing="1" w:after="100" w:afterAutospacing="1"/>
      <w:textAlignment w:val="auto"/>
    </w:pPr>
    <w:rPr>
      <w:b/>
      <w:bCs/>
      <w:sz w:val="24"/>
      <w:szCs w:val="24"/>
      <w:lang w:val="en-US"/>
    </w:rPr>
  </w:style>
  <w:style w:type="paragraph" w:customStyle="1" w:styleId="xl67">
    <w:name w:val="xl67"/>
    <w:basedOn w:val="Normal"/>
    <w:rsid w:val="00DA62A8"/>
    <w:pPr>
      <w:pBdr>
        <w:top w:val="single" w:sz="4" w:space="0" w:color="auto"/>
        <w:left w:val="single" w:sz="4" w:space="0" w:color="auto"/>
        <w:bottom w:val="single" w:sz="4" w:space="0" w:color="auto"/>
        <w:right w:val="single" w:sz="4" w:space="0" w:color="auto"/>
      </w:pBdr>
      <w:shd w:val="clear" w:color="000000" w:fill="AEAAAA"/>
      <w:overflowPunct/>
      <w:autoSpaceDE/>
      <w:autoSpaceDN/>
      <w:adjustRightInd/>
      <w:spacing w:before="100" w:beforeAutospacing="1" w:after="100" w:afterAutospacing="1"/>
      <w:jc w:val="center"/>
      <w:textAlignment w:val="center"/>
    </w:pPr>
    <w:rPr>
      <w:b/>
      <w:bCs/>
      <w:sz w:val="24"/>
      <w:szCs w:val="24"/>
      <w:lang w:val="en-US"/>
    </w:rPr>
  </w:style>
  <w:style w:type="paragraph" w:customStyle="1" w:styleId="xl68">
    <w:name w:val="xl68"/>
    <w:basedOn w:val="Normal"/>
    <w:rsid w:val="00DA62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msonormal">
    <w:name w:val="x_msonormal"/>
    <w:basedOn w:val="Normal"/>
    <w:qFormat/>
    <w:rsid w:val="008B3F01"/>
    <w:pPr>
      <w:overflowPunct/>
      <w:autoSpaceDE/>
      <w:autoSpaceDN/>
      <w:adjustRightInd/>
      <w:spacing w:after="0"/>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7605020">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6608372">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493425">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3433517">
      <w:bodyDiv w:val="1"/>
      <w:marLeft w:val="0"/>
      <w:marRight w:val="0"/>
      <w:marTop w:val="0"/>
      <w:marBottom w:val="0"/>
      <w:divBdr>
        <w:top w:val="none" w:sz="0" w:space="0" w:color="auto"/>
        <w:left w:val="none" w:sz="0" w:space="0" w:color="auto"/>
        <w:bottom w:val="none" w:sz="0" w:space="0" w:color="auto"/>
        <w:right w:val="none" w:sz="0" w:space="0" w:color="auto"/>
      </w:divBdr>
      <w:divsChild>
        <w:div w:id="471680546">
          <w:marLeft w:val="0"/>
          <w:marRight w:val="0"/>
          <w:marTop w:val="0"/>
          <w:marBottom w:val="0"/>
          <w:divBdr>
            <w:top w:val="none" w:sz="0" w:space="0" w:color="auto"/>
            <w:left w:val="none" w:sz="0" w:space="0" w:color="auto"/>
            <w:bottom w:val="none" w:sz="0" w:space="0" w:color="auto"/>
            <w:right w:val="none" w:sz="0" w:space="0" w:color="auto"/>
          </w:divBdr>
          <w:divsChild>
            <w:div w:id="645934704">
              <w:marLeft w:val="0"/>
              <w:marRight w:val="0"/>
              <w:marTop w:val="0"/>
              <w:marBottom w:val="0"/>
              <w:divBdr>
                <w:top w:val="none" w:sz="0" w:space="0" w:color="auto"/>
                <w:left w:val="none" w:sz="0" w:space="0" w:color="auto"/>
                <w:bottom w:val="none" w:sz="0" w:space="0" w:color="auto"/>
                <w:right w:val="none" w:sz="0" w:space="0" w:color="auto"/>
              </w:divBdr>
            </w:div>
            <w:div w:id="12079714">
              <w:marLeft w:val="0"/>
              <w:marRight w:val="0"/>
              <w:marTop w:val="0"/>
              <w:marBottom w:val="0"/>
              <w:divBdr>
                <w:top w:val="none" w:sz="0" w:space="0" w:color="auto"/>
                <w:left w:val="none" w:sz="0" w:space="0" w:color="auto"/>
                <w:bottom w:val="none" w:sz="0" w:space="0" w:color="auto"/>
                <w:right w:val="none" w:sz="0" w:space="0" w:color="auto"/>
              </w:divBdr>
            </w:div>
          </w:divsChild>
        </w:div>
        <w:div w:id="1963264887">
          <w:marLeft w:val="0"/>
          <w:marRight w:val="0"/>
          <w:marTop w:val="0"/>
          <w:marBottom w:val="0"/>
          <w:divBdr>
            <w:top w:val="none" w:sz="0" w:space="0" w:color="auto"/>
            <w:left w:val="none" w:sz="0" w:space="0" w:color="auto"/>
            <w:bottom w:val="none" w:sz="0" w:space="0" w:color="auto"/>
            <w:right w:val="none" w:sz="0" w:space="0" w:color="auto"/>
          </w:divBdr>
          <w:divsChild>
            <w:div w:id="1274634108">
              <w:marLeft w:val="0"/>
              <w:marRight w:val="0"/>
              <w:marTop w:val="0"/>
              <w:marBottom w:val="0"/>
              <w:divBdr>
                <w:top w:val="none" w:sz="0" w:space="0" w:color="auto"/>
                <w:left w:val="none" w:sz="0" w:space="0" w:color="auto"/>
                <w:bottom w:val="none" w:sz="0" w:space="0" w:color="auto"/>
                <w:right w:val="none" w:sz="0" w:space="0" w:color="auto"/>
              </w:divBdr>
            </w:div>
            <w:div w:id="1680232718">
              <w:marLeft w:val="0"/>
              <w:marRight w:val="0"/>
              <w:marTop w:val="0"/>
              <w:marBottom w:val="0"/>
              <w:divBdr>
                <w:top w:val="none" w:sz="0" w:space="0" w:color="auto"/>
                <w:left w:val="none" w:sz="0" w:space="0" w:color="auto"/>
                <w:bottom w:val="none" w:sz="0" w:space="0" w:color="auto"/>
                <w:right w:val="none" w:sz="0" w:space="0" w:color="auto"/>
              </w:divBdr>
            </w:div>
            <w:div w:id="2136167735">
              <w:marLeft w:val="0"/>
              <w:marRight w:val="0"/>
              <w:marTop w:val="0"/>
              <w:marBottom w:val="0"/>
              <w:divBdr>
                <w:top w:val="none" w:sz="0" w:space="0" w:color="auto"/>
                <w:left w:val="none" w:sz="0" w:space="0" w:color="auto"/>
                <w:bottom w:val="none" w:sz="0" w:space="0" w:color="auto"/>
                <w:right w:val="none" w:sz="0" w:space="0" w:color="auto"/>
              </w:divBdr>
            </w:div>
            <w:div w:id="1514568471">
              <w:marLeft w:val="0"/>
              <w:marRight w:val="0"/>
              <w:marTop w:val="0"/>
              <w:marBottom w:val="0"/>
              <w:divBdr>
                <w:top w:val="none" w:sz="0" w:space="0" w:color="auto"/>
                <w:left w:val="none" w:sz="0" w:space="0" w:color="auto"/>
                <w:bottom w:val="none" w:sz="0" w:space="0" w:color="auto"/>
                <w:right w:val="none" w:sz="0" w:space="0" w:color="auto"/>
              </w:divBdr>
            </w:div>
            <w:div w:id="1123963305">
              <w:marLeft w:val="0"/>
              <w:marRight w:val="0"/>
              <w:marTop w:val="0"/>
              <w:marBottom w:val="0"/>
              <w:divBdr>
                <w:top w:val="none" w:sz="0" w:space="0" w:color="auto"/>
                <w:left w:val="none" w:sz="0" w:space="0" w:color="auto"/>
                <w:bottom w:val="none" w:sz="0" w:space="0" w:color="auto"/>
                <w:right w:val="none" w:sz="0" w:space="0" w:color="auto"/>
              </w:divBdr>
            </w:div>
            <w:div w:id="1431395464">
              <w:marLeft w:val="0"/>
              <w:marRight w:val="0"/>
              <w:marTop w:val="0"/>
              <w:marBottom w:val="0"/>
              <w:divBdr>
                <w:top w:val="none" w:sz="0" w:space="0" w:color="auto"/>
                <w:left w:val="none" w:sz="0" w:space="0" w:color="auto"/>
                <w:bottom w:val="none" w:sz="0" w:space="0" w:color="auto"/>
                <w:right w:val="none" w:sz="0" w:space="0" w:color="auto"/>
              </w:divBdr>
            </w:div>
          </w:divsChild>
        </w:div>
        <w:div w:id="1735347539">
          <w:marLeft w:val="0"/>
          <w:marRight w:val="0"/>
          <w:marTop w:val="0"/>
          <w:marBottom w:val="0"/>
          <w:divBdr>
            <w:top w:val="none" w:sz="0" w:space="0" w:color="auto"/>
            <w:left w:val="none" w:sz="0" w:space="0" w:color="auto"/>
            <w:bottom w:val="none" w:sz="0" w:space="0" w:color="auto"/>
            <w:right w:val="none" w:sz="0" w:space="0" w:color="auto"/>
          </w:divBdr>
        </w:div>
        <w:div w:id="185868569">
          <w:marLeft w:val="0"/>
          <w:marRight w:val="0"/>
          <w:marTop w:val="0"/>
          <w:marBottom w:val="0"/>
          <w:divBdr>
            <w:top w:val="none" w:sz="0" w:space="0" w:color="auto"/>
            <w:left w:val="none" w:sz="0" w:space="0" w:color="auto"/>
            <w:bottom w:val="none" w:sz="0" w:space="0" w:color="auto"/>
            <w:right w:val="none" w:sz="0" w:space="0" w:color="auto"/>
          </w:divBdr>
          <w:divsChild>
            <w:div w:id="1494301343">
              <w:marLeft w:val="0"/>
              <w:marRight w:val="0"/>
              <w:marTop w:val="30"/>
              <w:marBottom w:val="30"/>
              <w:divBdr>
                <w:top w:val="none" w:sz="0" w:space="0" w:color="auto"/>
                <w:left w:val="none" w:sz="0" w:space="0" w:color="auto"/>
                <w:bottom w:val="none" w:sz="0" w:space="0" w:color="auto"/>
                <w:right w:val="none" w:sz="0" w:space="0" w:color="auto"/>
              </w:divBdr>
              <w:divsChild>
                <w:div w:id="1928537438">
                  <w:marLeft w:val="0"/>
                  <w:marRight w:val="0"/>
                  <w:marTop w:val="0"/>
                  <w:marBottom w:val="0"/>
                  <w:divBdr>
                    <w:top w:val="none" w:sz="0" w:space="0" w:color="auto"/>
                    <w:left w:val="none" w:sz="0" w:space="0" w:color="auto"/>
                    <w:bottom w:val="none" w:sz="0" w:space="0" w:color="auto"/>
                    <w:right w:val="none" w:sz="0" w:space="0" w:color="auto"/>
                  </w:divBdr>
                  <w:divsChild>
                    <w:div w:id="215357571">
                      <w:marLeft w:val="0"/>
                      <w:marRight w:val="0"/>
                      <w:marTop w:val="0"/>
                      <w:marBottom w:val="0"/>
                      <w:divBdr>
                        <w:top w:val="none" w:sz="0" w:space="0" w:color="auto"/>
                        <w:left w:val="none" w:sz="0" w:space="0" w:color="auto"/>
                        <w:bottom w:val="none" w:sz="0" w:space="0" w:color="auto"/>
                        <w:right w:val="none" w:sz="0" w:space="0" w:color="auto"/>
                      </w:divBdr>
                    </w:div>
                  </w:divsChild>
                </w:div>
                <w:div w:id="1907304473">
                  <w:marLeft w:val="0"/>
                  <w:marRight w:val="0"/>
                  <w:marTop w:val="0"/>
                  <w:marBottom w:val="0"/>
                  <w:divBdr>
                    <w:top w:val="none" w:sz="0" w:space="0" w:color="auto"/>
                    <w:left w:val="none" w:sz="0" w:space="0" w:color="auto"/>
                    <w:bottom w:val="none" w:sz="0" w:space="0" w:color="auto"/>
                    <w:right w:val="none" w:sz="0" w:space="0" w:color="auto"/>
                  </w:divBdr>
                  <w:divsChild>
                    <w:div w:id="437063801">
                      <w:marLeft w:val="0"/>
                      <w:marRight w:val="0"/>
                      <w:marTop w:val="0"/>
                      <w:marBottom w:val="0"/>
                      <w:divBdr>
                        <w:top w:val="none" w:sz="0" w:space="0" w:color="auto"/>
                        <w:left w:val="none" w:sz="0" w:space="0" w:color="auto"/>
                        <w:bottom w:val="none" w:sz="0" w:space="0" w:color="auto"/>
                        <w:right w:val="none" w:sz="0" w:space="0" w:color="auto"/>
                      </w:divBdr>
                    </w:div>
                  </w:divsChild>
                </w:div>
                <w:div w:id="510804327">
                  <w:marLeft w:val="0"/>
                  <w:marRight w:val="0"/>
                  <w:marTop w:val="0"/>
                  <w:marBottom w:val="0"/>
                  <w:divBdr>
                    <w:top w:val="none" w:sz="0" w:space="0" w:color="auto"/>
                    <w:left w:val="none" w:sz="0" w:space="0" w:color="auto"/>
                    <w:bottom w:val="none" w:sz="0" w:space="0" w:color="auto"/>
                    <w:right w:val="none" w:sz="0" w:space="0" w:color="auto"/>
                  </w:divBdr>
                  <w:divsChild>
                    <w:div w:id="1343585173">
                      <w:marLeft w:val="0"/>
                      <w:marRight w:val="0"/>
                      <w:marTop w:val="0"/>
                      <w:marBottom w:val="0"/>
                      <w:divBdr>
                        <w:top w:val="none" w:sz="0" w:space="0" w:color="auto"/>
                        <w:left w:val="none" w:sz="0" w:space="0" w:color="auto"/>
                        <w:bottom w:val="none" w:sz="0" w:space="0" w:color="auto"/>
                        <w:right w:val="none" w:sz="0" w:space="0" w:color="auto"/>
                      </w:divBdr>
                    </w:div>
                  </w:divsChild>
                </w:div>
                <w:div w:id="529539116">
                  <w:marLeft w:val="0"/>
                  <w:marRight w:val="0"/>
                  <w:marTop w:val="0"/>
                  <w:marBottom w:val="0"/>
                  <w:divBdr>
                    <w:top w:val="none" w:sz="0" w:space="0" w:color="auto"/>
                    <w:left w:val="none" w:sz="0" w:space="0" w:color="auto"/>
                    <w:bottom w:val="none" w:sz="0" w:space="0" w:color="auto"/>
                    <w:right w:val="none" w:sz="0" w:space="0" w:color="auto"/>
                  </w:divBdr>
                  <w:divsChild>
                    <w:div w:id="381371494">
                      <w:marLeft w:val="0"/>
                      <w:marRight w:val="0"/>
                      <w:marTop w:val="0"/>
                      <w:marBottom w:val="0"/>
                      <w:divBdr>
                        <w:top w:val="none" w:sz="0" w:space="0" w:color="auto"/>
                        <w:left w:val="none" w:sz="0" w:space="0" w:color="auto"/>
                        <w:bottom w:val="none" w:sz="0" w:space="0" w:color="auto"/>
                        <w:right w:val="none" w:sz="0" w:space="0" w:color="auto"/>
                      </w:divBdr>
                    </w:div>
                  </w:divsChild>
                </w:div>
                <w:div w:id="817575435">
                  <w:marLeft w:val="0"/>
                  <w:marRight w:val="0"/>
                  <w:marTop w:val="0"/>
                  <w:marBottom w:val="0"/>
                  <w:divBdr>
                    <w:top w:val="none" w:sz="0" w:space="0" w:color="auto"/>
                    <w:left w:val="none" w:sz="0" w:space="0" w:color="auto"/>
                    <w:bottom w:val="none" w:sz="0" w:space="0" w:color="auto"/>
                    <w:right w:val="none" w:sz="0" w:space="0" w:color="auto"/>
                  </w:divBdr>
                  <w:divsChild>
                    <w:div w:id="1233353951">
                      <w:marLeft w:val="0"/>
                      <w:marRight w:val="0"/>
                      <w:marTop w:val="0"/>
                      <w:marBottom w:val="0"/>
                      <w:divBdr>
                        <w:top w:val="none" w:sz="0" w:space="0" w:color="auto"/>
                        <w:left w:val="none" w:sz="0" w:space="0" w:color="auto"/>
                        <w:bottom w:val="none" w:sz="0" w:space="0" w:color="auto"/>
                        <w:right w:val="none" w:sz="0" w:space="0" w:color="auto"/>
                      </w:divBdr>
                    </w:div>
                  </w:divsChild>
                </w:div>
                <w:div w:id="1431047298">
                  <w:marLeft w:val="0"/>
                  <w:marRight w:val="0"/>
                  <w:marTop w:val="0"/>
                  <w:marBottom w:val="0"/>
                  <w:divBdr>
                    <w:top w:val="none" w:sz="0" w:space="0" w:color="auto"/>
                    <w:left w:val="none" w:sz="0" w:space="0" w:color="auto"/>
                    <w:bottom w:val="none" w:sz="0" w:space="0" w:color="auto"/>
                    <w:right w:val="none" w:sz="0" w:space="0" w:color="auto"/>
                  </w:divBdr>
                  <w:divsChild>
                    <w:div w:id="1454248330">
                      <w:marLeft w:val="0"/>
                      <w:marRight w:val="0"/>
                      <w:marTop w:val="0"/>
                      <w:marBottom w:val="0"/>
                      <w:divBdr>
                        <w:top w:val="none" w:sz="0" w:space="0" w:color="auto"/>
                        <w:left w:val="none" w:sz="0" w:space="0" w:color="auto"/>
                        <w:bottom w:val="none" w:sz="0" w:space="0" w:color="auto"/>
                        <w:right w:val="none" w:sz="0" w:space="0" w:color="auto"/>
                      </w:divBdr>
                    </w:div>
                  </w:divsChild>
                </w:div>
                <w:div w:id="2089955291">
                  <w:marLeft w:val="0"/>
                  <w:marRight w:val="0"/>
                  <w:marTop w:val="0"/>
                  <w:marBottom w:val="0"/>
                  <w:divBdr>
                    <w:top w:val="none" w:sz="0" w:space="0" w:color="auto"/>
                    <w:left w:val="none" w:sz="0" w:space="0" w:color="auto"/>
                    <w:bottom w:val="none" w:sz="0" w:space="0" w:color="auto"/>
                    <w:right w:val="none" w:sz="0" w:space="0" w:color="auto"/>
                  </w:divBdr>
                  <w:divsChild>
                    <w:div w:id="1675719758">
                      <w:marLeft w:val="0"/>
                      <w:marRight w:val="0"/>
                      <w:marTop w:val="0"/>
                      <w:marBottom w:val="0"/>
                      <w:divBdr>
                        <w:top w:val="none" w:sz="0" w:space="0" w:color="auto"/>
                        <w:left w:val="none" w:sz="0" w:space="0" w:color="auto"/>
                        <w:bottom w:val="none" w:sz="0" w:space="0" w:color="auto"/>
                        <w:right w:val="none" w:sz="0" w:space="0" w:color="auto"/>
                      </w:divBdr>
                    </w:div>
                  </w:divsChild>
                </w:div>
                <w:div w:id="1389645270">
                  <w:marLeft w:val="0"/>
                  <w:marRight w:val="0"/>
                  <w:marTop w:val="0"/>
                  <w:marBottom w:val="0"/>
                  <w:divBdr>
                    <w:top w:val="none" w:sz="0" w:space="0" w:color="auto"/>
                    <w:left w:val="none" w:sz="0" w:space="0" w:color="auto"/>
                    <w:bottom w:val="none" w:sz="0" w:space="0" w:color="auto"/>
                    <w:right w:val="none" w:sz="0" w:space="0" w:color="auto"/>
                  </w:divBdr>
                  <w:divsChild>
                    <w:div w:id="2118061336">
                      <w:marLeft w:val="0"/>
                      <w:marRight w:val="0"/>
                      <w:marTop w:val="0"/>
                      <w:marBottom w:val="0"/>
                      <w:divBdr>
                        <w:top w:val="none" w:sz="0" w:space="0" w:color="auto"/>
                        <w:left w:val="none" w:sz="0" w:space="0" w:color="auto"/>
                        <w:bottom w:val="none" w:sz="0" w:space="0" w:color="auto"/>
                        <w:right w:val="none" w:sz="0" w:space="0" w:color="auto"/>
                      </w:divBdr>
                    </w:div>
                  </w:divsChild>
                </w:div>
                <w:div w:id="828905975">
                  <w:marLeft w:val="0"/>
                  <w:marRight w:val="0"/>
                  <w:marTop w:val="0"/>
                  <w:marBottom w:val="0"/>
                  <w:divBdr>
                    <w:top w:val="none" w:sz="0" w:space="0" w:color="auto"/>
                    <w:left w:val="none" w:sz="0" w:space="0" w:color="auto"/>
                    <w:bottom w:val="none" w:sz="0" w:space="0" w:color="auto"/>
                    <w:right w:val="none" w:sz="0" w:space="0" w:color="auto"/>
                  </w:divBdr>
                  <w:divsChild>
                    <w:div w:id="530075291">
                      <w:marLeft w:val="0"/>
                      <w:marRight w:val="0"/>
                      <w:marTop w:val="0"/>
                      <w:marBottom w:val="0"/>
                      <w:divBdr>
                        <w:top w:val="none" w:sz="0" w:space="0" w:color="auto"/>
                        <w:left w:val="none" w:sz="0" w:space="0" w:color="auto"/>
                        <w:bottom w:val="none" w:sz="0" w:space="0" w:color="auto"/>
                        <w:right w:val="none" w:sz="0" w:space="0" w:color="auto"/>
                      </w:divBdr>
                    </w:div>
                  </w:divsChild>
                </w:div>
                <w:div w:id="486360899">
                  <w:marLeft w:val="0"/>
                  <w:marRight w:val="0"/>
                  <w:marTop w:val="0"/>
                  <w:marBottom w:val="0"/>
                  <w:divBdr>
                    <w:top w:val="none" w:sz="0" w:space="0" w:color="auto"/>
                    <w:left w:val="none" w:sz="0" w:space="0" w:color="auto"/>
                    <w:bottom w:val="none" w:sz="0" w:space="0" w:color="auto"/>
                    <w:right w:val="none" w:sz="0" w:space="0" w:color="auto"/>
                  </w:divBdr>
                  <w:divsChild>
                    <w:div w:id="551113207">
                      <w:marLeft w:val="0"/>
                      <w:marRight w:val="0"/>
                      <w:marTop w:val="0"/>
                      <w:marBottom w:val="0"/>
                      <w:divBdr>
                        <w:top w:val="none" w:sz="0" w:space="0" w:color="auto"/>
                        <w:left w:val="none" w:sz="0" w:space="0" w:color="auto"/>
                        <w:bottom w:val="none" w:sz="0" w:space="0" w:color="auto"/>
                        <w:right w:val="none" w:sz="0" w:space="0" w:color="auto"/>
                      </w:divBdr>
                    </w:div>
                  </w:divsChild>
                </w:div>
                <w:div w:id="133984296">
                  <w:marLeft w:val="0"/>
                  <w:marRight w:val="0"/>
                  <w:marTop w:val="0"/>
                  <w:marBottom w:val="0"/>
                  <w:divBdr>
                    <w:top w:val="none" w:sz="0" w:space="0" w:color="auto"/>
                    <w:left w:val="none" w:sz="0" w:space="0" w:color="auto"/>
                    <w:bottom w:val="none" w:sz="0" w:space="0" w:color="auto"/>
                    <w:right w:val="none" w:sz="0" w:space="0" w:color="auto"/>
                  </w:divBdr>
                  <w:divsChild>
                    <w:div w:id="1949972324">
                      <w:marLeft w:val="0"/>
                      <w:marRight w:val="0"/>
                      <w:marTop w:val="0"/>
                      <w:marBottom w:val="0"/>
                      <w:divBdr>
                        <w:top w:val="none" w:sz="0" w:space="0" w:color="auto"/>
                        <w:left w:val="none" w:sz="0" w:space="0" w:color="auto"/>
                        <w:bottom w:val="none" w:sz="0" w:space="0" w:color="auto"/>
                        <w:right w:val="none" w:sz="0" w:space="0" w:color="auto"/>
                      </w:divBdr>
                    </w:div>
                  </w:divsChild>
                </w:div>
                <w:div w:id="128479669">
                  <w:marLeft w:val="0"/>
                  <w:marRight w:val="0"/>
                  <w:marTop w:val="0"/>
                  <w:marBottom w:val="0"/>
                  <w:divBdr>
                    <w:top w:val="none" w:sz="0" w:space="0" w:color="auto"/>
                    <w:left w:val="none" w:sz="0" w:space="0" w:color="auto"/>
                    <w:bottom w:val="none" w:sz="0" w:space="0" w:color="auto"/>
                    <w:right w:val="none" w:sz="0" w:space="0" w:color="auto"/>
                  </w:divBdr>
                  <w:divsChild>
                    <w:div w:id="1357580112">
                      <w:marLeft w:val="0"/>
                      <w:marRight w:val="0"/>
                      <w:marTop w:val="0"/>
                      <w:marBottom w:val="0"/>
                      <w:divBdr>
                        <w:top w:val="none" w:sz="0" w:space="0" w:color="auto"/>
                        <w:left w:val="none" w:sz="0" w:space="0" w:color="auto"/>
                        <w:bottom w:val="none" w:sz="0" w:space="0" w:color="auto"/>
                        <w:right w:val="none" w:sz="0" w:space="0" w:color="auto"/>
                      </w:divBdr>
                    </w:div>
                  </w:divsChild>
                </w:div>
                <w:div w:id="1937396885">
                  <w:marLeft w:val="0"/>
                  <w:marRight w:val="0"/>
                  <w:marTop w:val="0"/>
                  <w:marBottom w:val="0"/>
                  <w:divBdr>
                    <w:top w:val="none" w:sz="0" w:space="0" w:color="auto"/>
                    <w:left w:val="none" w:sz="0" w:space="0" w:color="auto"/>
                    <w:bottom w:val="none" w:sz="0" w:space="0" w:color="auto"/>
                    <w:right w:val="none" w:sz="0" w:space="0" w:color="auto"/>
                  </w:divBdr>
                  <w:divsChild>
                    <w:div w:id="1288976591">
                      <w:marLeft w:val="0"/>
                      <w:marRight w:val="0"/>
                      <w:marTop w:val="0"/>
                      <w:marBottom w:val="0"/>
                      <w:divBdr>
                        <w:top w:val="none" w:sz="0" w:space="0" w:color="auto"/>
                        <w:left w:val="none" w:sz="0" w:space="0" w:color="auto"/>
                        <w:bottom w:val="none" w:sz="0" w:space="0" w:color="auto"/>
                        <w:right w:val="none" w:sz="0" w:space="0" w:color="auto"/>
                      </w:divBdr>
                    </w:div>
                  </w:divsChild>
                </w:div>
                <w:div w:id="11690738">
                  <w:marLeft w:val="0"/>
                  <w:marRight w:val="0"/>
                  <w:marTop w:val="0"/>
                  <w:marBottom w:val="0"/>
                  <w:divBdr>
                    <w:top w:val="none" w:sz="0" w:space="0" w:color="auto"/>
                    <w:left w:val="none" w:sz="0" w:space="0" w:color="auto"/>
                    <w:bottom w:val="none" w:sz="0" w:space="0" w:color="auto"/>
                    <w:right w:val="none" w:sz="0" w:space="0" w:color="auto"/>
                  </w:divBdr>
                  <w:divsChild>
                    <w:div w:id="1935555405">
                      <w:marLeft w:val="0"/>
                      <w:marRight w:val="0"/>
                      <w:marTop w:val="0"/>
                      <w:marBottom w:val="0"/>
                      <w:divBdr>
                        <w:top w:val="none" w:sz="0" w:space="0" w:color="auto"/>
                        <w:left w:val="none" w:sz="0" w:space="0" w:color="auto"/>
                        <w:bottom w:val="none" w:sz="0" w:space="0" w:color="auto"/>
                        <w:right w:val="none" w:sz="0" w:space="0" w:color="auto"/>
                      </w:divBdr>
                    </w:div>
                  </w:divsChild>
                </w:div>
                <w:div w:id="1870291592">
                  <w:marLeft w:val="0"/>
                  <w:marRight w:val="0"/>
                  <w:marTop w:val="0"/>
                  <w:marBottom w:val="0"/>
                  <w:divBdr>
                    <w:top w:val="none" w:sz="0" w:space="0" w:color="auto"/>
                    <w:left w:val="none" w:sz="0" w:space="0" w:color="auto"/>
                    <w:bottom w:val="none" w:sz="0" w:space="0" w:color="auto"/>
                    <w:right w:val="none" w:sz="0" w:space="0" w:color="auto"/>
                  </w:divBdr>
                  <w:divsChild>
                    <w:div w:id="2101831266">
                      <w:marLeft w:val="0"/>
                      <w:marRight w:val="0"/>
                      <w:marTop w:val="0"/>
                      <w:marBottom w:val="0"/>
                      <w:divBdr>
                        <w:top w:val="none" w:sz="0" w:space="0" w:color="auto"/>
                        <w:left w:val="none" w:sz="0" w:space="0" w:color="auto"/>
                        <w:bottom w:val="none" w:sz="0" w:space="0" w:color="auto"/>
                        <w:right w:val="none" w:sz="0" w:space="0" w:color="auto"/>
                      </w:divBdr>
                    </w:div>
                  </w:divsChild>
                </w:div>
                <w:div w:id="1700626403">
                  <w:marLeft w:val="0"/>
                  <w:marRight w:val="0"/>
                  <w:marTop w:val="0"/>
                  <w:marBottom w:val="0"/>
                  <w:divBdr>
                    <w:top w:val="none" w:sz="0" w:space="0" w:color="auto"/>
                    <w:left w:val="none" w:sz="0" w:space="0" w:color="auto"/>
                    <w:bottom w:val="none" w:sz="0" w:space="0" w:color="auto"/>
                    <w:right w:val="none" w:sz="0" w:space="0" w:color="auto"/>
                  </w:divBdr>
                  <w:divsChild>
                    <w:div w:id="303044275">
                      <w:marLeft w:val="0"/>
                      <w:marRight w:val="0"/>
                      <w:marTop w:val="0"/>
                      <w:marBottom w:val="0"/>
                      <w:divBdr>
                        <w:top w:val="none" w:sz="0" w:space="0" w:color="auto"/>
                        <w:left w:val="none" w:sz="0" w:space="0" w:color="auto"/>
                        <w:bottom w:val="none" w:sz="0" w:space="0" w:color="auto"/>
                        <w:right w:val="none" w:sz="0" w:space="0" w:color="auto"/>
                      </w:divBdr>
                    </w:div>
                  </w:divsChild>
                </w:div>
                <w:div w:id="145902589">
                  <w:marLeft w:val="0"/>
                  <w:marRight w:val="0"/>
                  <w:marTop w:val="0"/>
                  <w:marBottom w:val="0"/>
                  <w:divBdr>
                    <w:top w:val="none" w:sz="0" w:space="0" w:color="auto"/>
                    <w:left w:val="none" w:sz="0" w:space="0" w:color="auto"/>
                    <w:bottom w:val="none" w:sz="0" w:space="0" w:color="auto"/>
                    <w:right w:val="none" w:sz="0" w:space="0" w:color="auto"/>
                  </w:divBdr>
                  <w:divsChild>
                    <w:div w:id="1300722353">
                      <w:marLeft w:val="0"/>
                      <w:marRight w:val="0"/>
                      <w:marTop w:val="0"/>
                      <w:marBottom w:val="0"/>
                      <w:divBdr>
                        <w:top w:val="none" w:sz="0" w:space="0" w:color="auto"/>
                        <w:left w:val="none" w:sz="0" w:space="0" w:color="auto"/>
                        <w:bottom w:val="none" w:sz="0" w:space="0" w:color="auto"/>
                        <w:right w:val="none" w:sz="0" w:space="0" w:color="auto"/>
                      </w:divBdr>
                    </w:div>
                  </w:divsChild>
                </w:div>
                <w:div w:id="1177233443">
                  <w:marLeft w:val="0"/>
                  <w:marRight w:val="0"/>
                  <w:marTop w:val="0"/>
                  <w:marBottom w:val="0"/>
                  <w:divBdr>
                    <w:top w:val="none" w:sz="0" w:space="0" w:color="auto"/>
                    <w:left w:val="none" w:sz="0" w:space="0" w:color="auto"/>
                    <w:bottom w:val="none" w:sz="0" w:space="0" w:color="auto"/>
                    <w:right w:val="none" w:sz="0" w:space="0" w:color="auto"/>
                  </w:divBdr>
                  <w:divsChild>
                    <w:div w:id="910580701">
                      <w:marLeft w:val="0"/>
                      <w:marRight w:val="0"/>
                      <w:marTop w:val="0"/>
                      <w:marBottom w:val="0"/>
                      <w:divBdr>
                        <w:top w:val="none" w:sz="0" w:space="0" w:color="auto"/>
                        <w:left w:val="none" w:sz="0" w:space="0" w:color="auto"/>
                        <w:bottom w:val="none" w:sz="0" w:space="0" w:color="auto"/>
                        <w:right w:val="none" w:sz="0" w:space="0" w:color="auto"/>
                      </w:divBdr>
                    </w:div>
                  </w:divsChild>
                </w:div>
                <w:div w:id="1217550962">
                  <w:marLeft w:val="0"/>
                  <w:marRight w:val="0"/>
                  <w:marTop w:val="0"/>
                  <w:marBottom w:val="0"/>
                  <w:divBdr>
                    <w:top w:val="none" w:sz="0" w:space="0" w:color="auto"/>
                    <w:left w:val="none" w:sz="0" w:space="0" w:color="auto"/>
                    <w:bottom w:val="none" w:sz="0" w:space="0" w:color="auto"/>
                    <w:right w:val="none" w:sz="0" w:space="0" w:color="auto"/>
                  </w:divBdr>
                  <w:divsChild>
                    <w:div w:id="1234657579">
                      <w:marLeft w:val="0"/>
                      <w:marRight w:val="0"/>
                      <w:marTop w:val="0"/>
                      <w:marBottom w:val="0"/>
                      <w:divBdr>
                        <w:top w:val="none" w:sz="0" w:space="0" w:color="auto"/>
                        <w:left w:val="none" w:sz="0" w:space="0" w:color="auto"/>
                        <w:bottom w:val="none" w:sz="0" w:space="0" w:color="auto"/>
                        <w:right w:val="none" w:sz="0" w:space="0" w:color="auto"/>
                      </w:divBdr>
                    </w:div>
                  </w:divsChild>
                </w:div>
                <w:div w:id="169412375">
                  <w:marLeft w:val="0"/>
                  <w:marRight w:val="0"/>
                  <w:marTop w:val="0"/>
                  <w:marBottom w:val="0"/>
                  <w:divBdr>
                    <w:top w:val="none" w:sz="0" w:space="0" w:color="auto"/>
                    <w:left w:val="none" w:sz="0" w:space="0" w:color="auto"/>
                    <w:bottom w:val="none" w:sz="0" w:space="0" w:color="auto"/>
                    <w:right w:val="none" w:sz="0" w:space="0" w:color="auto"/>
                  </w:divBdr>
                  <w:divsChild>
                    <w:div w:id="1827626554">
                      <w:marLeft w:val="0"/>
                      <w:marRight w:val="0"/>
                      <w:marTop w:val="0"/>
                      <w:marBottom w:val="0"/>
                      <w:divBdr>
                        <w:top w:val="none" w:sz="0" w:space="0" w:color="auto"/>
                        <w:left w:val="none" w:sz="0" w:space="0" w:color="auto"/>
                        <w:bottom w:val="none" w:sz="0" w:space="0" w:color="auto"/>
                        <w:right w:val="none" w:sz="0" w:space="0" w:color="auto"/>
                      </w:divBdr>
                    </w:div>
                  </w:divsChild>
                </w:div>
                <w:div w:id="509029304">
                  <w:marLeft w:val="0"/>
                  <w:marRight w:val="0"/>
                  <w:marTop w:val="0"/>
                  <w:marBottom w:val="0"/>
                  <w:divBdr>
                    <w:top w:val="none" w:sz="0" w:space="0" w:color="auto"/>
                    <w:left w:val="none" w:sz="0" w:space="0" w:color="auto"/>
                    <w:bottom w:val="none" w:sz="0" w:space="0" w:color="auto"/>
                    <w:right w:val="none" w:sz="0" w:space="0" w:color="auto"/>
                  </w:divBdr>
                  <w:divsChild>
                    <w:div w:id="223227251">
                      <w:marLeft w:val="0"/>
                      <w:marRight w:val="0"/>
                      <w:marTop w:val="0"/>
                      <w:marBottom w:val="0"/>
                      <w:divBdr>
                        <w:top w:val="none" w:sz="0" w:space="0" w:color="auto"/>
                        <w:left w:val="none" w:sz="0" w:space="0" w:color="auto"/>
                        <w:bottom w:val="none" w:sz="0" w:space="0" w:color="auto"/>
                        <w:right w:val="none" w:sz="0" w:space="0" w:color="auto"/>
                      </w:divBdr>
                    </w:div>
                  </w:divsChild>
                </w:div>
                <w:div w:id="1866014600">
                  <w:marLeft w:val="0"/>
                  <w:marRight w:val="0"/>
                  <w:marTop w:val="0"/>
                  <w:marBottom w:val="0"/>
                  <w:divBdr>
                    <w:top w:val="none" w:sz="0" w:space="0" w:color="auto"/>
                    <w:left w:val="none" w:sz="0" w:space="0" w:color="auto"/>
                    <w:bottom w:val="none" w:sz="0" w:space="0" w:color="auto"/>
                    <w:right w:val="none" w:sz="0" w:space="0" w:color="auto"/>
                  </w:divBdr>
                  <w:divsChild>
                    <w:div w:id="1068921950">
                      <w:marLeft w:val="0"/>
                      <w:marRight w:val="0"/>
                      <w:marTop w:val="0"/>
                      <w:marBottom w:val="0"/>
                      <w:divBdr>
                        <w:top w:val="none" w:sz="0" w:space="0" w:color="auto"/>
                        <w:left w:val="none" w:sz="0" w:space="0" w:color="auto"/>
                        <w:bottom w:val="none" w:sz="0" w:space="0" w:color="auto"/>
                        <w:right w:val="none" w:sz="0" w:space="0" w:color="auto"/>
                      </w:divBdr>
                    </w:div>
                  </w:divsChild>
                </w:div>
                <w:div w:id="399133341">
                  <w:marLeft w:val="0"/>
                  <w:marRight w:val="0"/>
                  <w:marTop w:val="0"/>
                  <w:marBottom w:val="0"/>
                  <w:divBdr>
                    <w:top w:val="none" w:sz="0" w:space="0" w:color="auto"/>
                    <w:left w:val="none" w:sz="0" w:space="0" w:color="auto"/>
                    <w:bottom w:val="none" w:sz="0" w:space="0" w:color="auto"/>
                    <w:right w:val="none" w:sz="0" w:space="0" w:color="auto"/>
                  </w:divBdr>
                  <w:divsChild>
                    <w:div w:id="1089035134">
                      <w:marLeft w:val="0"/>
                      <w:marRight w:val="0"/>
                      <w:marTop w:val="0"/>
                      <w:marBottom w:val="0"/>
                      <w:divBdr>
                        <w:top w:val="none" w:sz="0" w:space="0" w:color="auto"/>
                        <w:left w:val="none" w:sz="0" w:space="0" w:color="auto"/>
                        <w:bottom w:val="none" w:sz="0" w:space="0" w:color="auto"/>
                        <w:right w:val="none" w:sz="0" w:space="0" w:color="auto"/>
                      </w:divBdr>
                    </w:div>
                  </w:divsChild>
                </w:div>
                <w:div w:id="1779569949">
                  <w:marLeft w:val="0"/>
                  <w:marRight w:val="0"/>
                  <w:marTop w:val="0"/>
                  <w:marBottom w:val="0"/>
                  <w:divBdr>
                    <w:top w:val="none" w:sz="0" w:space="0" w:color="auto"/>
                    <w:left w:val="none" w:sz="0" w:space="0" w:color="auto"/>
                    <w:bottom w:val="none" w:sz="0" w:space="0" w:color="auto"/>
                    <w:right w:val="none" w:sz="0" w:space="0" w:color="auto"/>
                  </w:divBdr>
                  <w:divsChild>
                    <w:div w:id="2026974304">
                      <w:marLeft w:val="0"/>
                      <w:marRight w:val="0"/>
                      <w:marTop w:val="0"/>
                      <w:marBottom w:val="0"/>
                      <w:divBdr>
                        <w:top w:val="none" w:sz="0" w:space="0" w:color="auto"/>
                        <w:left w:val="none" w:sz="0" w:space="0" w:color="auto"/>
                        <w:bottom w:val="none" w:sz="0" w:space="0" w:color="auto"/>
                        <w:right w:val="none" w:sz="0" w:space="0" w:color="auto"/>
                      </w:divBdr>
                    </w:div>
                  </w:divsChild>
                </w:div>
                <w:div w:id="281962458">
                  <w:marLeft w:val="0"/>
                  <w:marRight w:val="0"/>
                  <w:marTop w:val="0"/>
                  <w:marBottom w:val="0"/>
                  <w:divBdr>
                    <w:top w:val="none" w:sz="0" w:space="0" w:color="auto"/>
                    <w:left w:val="none" w:sz="0" w:space="0" w:color="auto"/>
                    <w:bottom w:val="none" w:sz="0" w:space="0" w:color="auto"/>
                    <w:right w:val="none" w:sz="0" w:space="0" w:color="auto"/>
                  </w:divBdr>
                  <w:divsChild>
                    <w:div w:id="2042315598">
                      <w:marLeft w:val="0"/>
                      <w:marRight w:val="0"/>
                      <w:marTop w:val="0"/>
                      <w:marBottom w:val="0"/>
                      <w:divBdr>
                        <w:top w:val="none" w:sz="0" w:space="0" w:color="auto"/>
                        <w:left w:val="none" w:sz="0" w:space="0" w:color="auto"/>
                        <w:bottom w:val="none" w:sz="0" w:space="0" w:color="auto"/>
                        <w:right w:val="none" w:sz="0" w:space="0" w:color="auto"/>
                      </w:divBdr>
                    </w:div>
                  </w:divsChild>
                </w:div>
                <w:div w:id="1196966112">
                  <w:marLeft w:val="0"/>
                  <w:marRight w:val="0"/>
                  <w:marTop w:val="0"/>
                  <w:marBottom w:val="0"/>
                  <w:divBdr>
                    <w:top w:val="none" w:sz="0" w:space="0" w:color="auto"/>
                    <w:left w:val="none" w:sz="0" w:space="0" w:color="auto"/>
                    <w:bottom w:val="none" w:sz="0" w:space="0" w:color="auto"/>
                    <w:right w:val="none" w:sz="0" w:space="0" w:color="auto"/>
                  </w:divBdr>
                  <w:divsChild>
                    <w:div w:id="1128428897">
                      <w:marLeft w:val="0"/>
                      <w:marRight w:val="0"/>
                      <w:marTop w:val="0"/>
                      <w:marBottom w:val="0"/>
                      <w:divBdr>
                        <w:top w:val="none" w:sz="0" w:space="0" w:color="auto"/>
                        <w:left w:val="none" w:sz="0" w:space="0" w:color="auto"/>
                        <w:bottom w:val="none" w:sz="0" w:space="0" w:color="auto"/>
                        <w:right w:val="none" w:sz="0" w:space="0" w:color="auto"/>
                      </w:divBdr>
                    </w:div>
                  </w:divsChild>
                </w:div>
                <w:div w:id="230508957">
                  <w:marLeft w:val="0"/>
                  <w:marRight w:val="0"/>
                  <w:marTop w:val="0"/>
                  <w:marBottom w:val="0"/>
                  <w:divBdr>
                    <w:top w:val="none" w:sz="0" w:space="0" w:color="auto"/>
                    <w:left w:val="none" w:sz="0" w:space="0" w:color="auto"/>
                    <w:bottom w:val="none" w:sz="0" w:space="0" w:color="auto"/>
                    <w:right w:val="none" w:sz="0" w:space="0" w:color="auto"/>
                  </w:divBdr>
                  <w:divsChild>
                    <w:div w:id="2113699425">
                      <w:marLeft w:val="0"/>
                      <w:marRight w:val="0"/>
                      <w:marTop w:val="0"/>
                      <w:marBottom w:val="0"/>
                      <w:divBdr>
                        <w:top w:val="none" w:sz="0" w:space="0" w:color="auto"/>
                        <w:left w:val="none" w:sz="0" w:space="0" w:color="auto"/>
                        <w:bottom w:val="none" w:sz="0" w:space="0" w:color="auto"/>
                        <w:right w:val="none" w:sz="0" w:space="0" w:color="auto"/>
                      </w:divBdr>
                    </w:div>
                  </w:divsChild>
                </w:div>
                <w:div w:id="1661083033">
                  <w:marLeft w:val="0"/>
                  <w:marRight w:val="0"/>
                  <w:marTop w:val="0"/>
                  <w:marBottom w:val="0"/>
                  <w:divBdr>
                    <w:top w:val="none" w:sz="0" w:space="0" w:color="auto"/>
                    <w:left w:val="none" w:sz="0" w:space="0" w:color="auto"/>
                    <w:bottom w:val="none" w:sz="0" w:space="0" w:color="auto"/>
                    <w:right w:val="none" w:sz="0" w:space="0" w:color="auto"/>
                  </w:divBdr>
                  <w:divsChild>
                    <w:div w:id="903754031">
                      <w:marLeft w:val="0"/>
                      <w:marRight w:val="0"/>
                      <w:marTop w:val="0"/>
                      <w:marBottom w:val="0"/>
                      <w:divBdr>
                        <w:top w:val="none" w:sz="0" w:space="0" w:color="auto"/>
                        <w:left w:val="none" w:sz="0" w:space="0" w:color="auto"/>
                        <w:bottom w:val="none" w:sz="0" w:space="0" w:color="auto"/>
                        <w:right w:val="none" w:sz="0" w:space="0" w:color="auto"/>
                      </w:divBdr>
                    </w:div>
                  </w:divsChild>
                </w:div>
                <w:div w:id="622201029">
                  <w:marLeft w:val="0"/>
                  <w:marRight w:val="0"/>
                  <w:marTop w:val="0"/>
                  <w:marBottom w:val="0"/>
                  <w:divBdr>
                    <w:top w:val="none" w:sz="0" w:space="0" w:color="auto"/>
                    <w:left w:val="none" w:sz="0" w:space="0" w:color="auto"/>
                    <w:bottom w:val="none" w:sz="0" w:space="0" w:color="auto"/>
                    <w:right w:val="none" w:sz="0" w:space="0" w:color="auto"/>
                  </w:divBdr>
                  <w:divsChild>
                    <w:div w:id="211036657">
                      <w:marLeft w:val="0"/>
                      <w:marRight w:val="0"/>
                      <w:marTop w:val="0"/>
                      <w:marBottom w:val="0"/>
                      <w:divBdr>
                        <w:top w:val="none" w:sz="0" w:space="0" w:color="auto"/>
                        <w:left w:val="none" w:sz="0" w:space="0" w:color="auto"/>
                        <w:bottom w:val="none" w:sz="0" w:space="0" w:color="auto"/>
                        <w:right w:val="none" w:sz="0" w:space="0" w:color="auto"/>
                      </w:divBdr>
                    </w:div>
                  </w:divsChild>
                </w:div>
                <w:div w:id="1004358127">
                  <w:marLeft w:val="0"/>
                  <w:marRight w:val="0"/>
                  <w:marTop w:val="0"/>
                  <w:marBottom w:val="0"/>
                  <w:divBdr>
                    <w:top w:val="none" w:sz="0" w:space="0" w:color="auto"/>
                    <w:left w:val="none" w:sz="0" w:space="0" w:color="auto"/>
                    <w:bottom w:val="none" w:sz="0" w:space="0" w:color="auto"/>
                    <w:right w:val="none" w:sz="0" w:space="0" w:color="auto"/>
                  </w:divBdr>
                  <w:divsChild>
                    <w:div w:id="1995065137">
                      <w:marLeft w:val="0"/>
                      <w:marRight w:val="0"/>
                      <w:marTop w:val="0"/>
                      <w:marBottom w:val="0"/>
                      <w:divBdr>
                        <w:top w:val="none" w:sz="0" w:space="0" w:color="auto"/>
                        <w:left w:val="none" w:sz="0" w:space="0" w:color="auto"/>
                        <w:bottom w:val="none" w:sz="0" w:space="0" w:color="auto"/>
                        <w:right w:val="none" w:sz="0" w:space="0" w:color="auto"/>
                      </w:divBdr>
                    </w:div>
                  </w:divsChild>
                </w:div>
                <w:div w:id="926499815">
                  <w:marLeft w:val="0"/>
                  <w:marRight w:val="0"/>
                  <w:marTop w:val="0"/>
                  <w:marBottom w:val="0"/>
                  <w:divBdr>
                    <w:top w:val="none" w:sz="0" w:space="0" w:color="auto"/>
                    <w:left w:val="none" w:sz="0" w:space="0" w:color="auto"/>
                    <w:bottom w:val="none" w:sz="0" w:space="0" w:color="auto"/>
                    <w:right w:val="none" w:sz="0" w:space="0" w:color="auto"/>
                  </w:divBdr>
                  <w:divsChild>
                    <w:div w:id="1979217166">
                      <w:marLeft w:val="0"/>
                      <w:marRight w:val="0"/>
                      <w:marTop w:val="0"/>
                      <w:marBottom w:val="0"/>
                      <w:divBdr>
                        <w:top w:val="none" w:sz="0" w:space="0" w:color="auto"/>
                        <w:left w:val="none" w:sz="0" w:space="0" w:color="auto"/>
                        <w:bottom w:val="none" w:sz="0" w:space="0" w:color="auto"/>
                        <w:right w:val="none" w:sz="0" w:space="0" w:color="auto"/>
                      </w:divBdr>
                    </w:div>
                  </w:divsChild>
                </w:div>
                <w:div w:id="633216994">
                  <w:marLeft w:val="0"/>
                  <w:marRight w:val="0"/>
                  <w:marTop w:val="0"/>
                  <w:marBottom w:val="0"/>
                  <w:divBdr>
                    <w:top w:val="none" w:sz="0" w:space="0" w:color="auto"/>
                    <w:left w:val="none" w:sz="0" w:space="0" w:color="auto"/>
                    <w:bottom w:val="none" w:sz="0" w:space="0" w:color="auto"/>
                    <w:right w:val="none" w:sz="0" w:space="0" w:color="auto"/>
                  </w:divBdr>
                  <w:divsChild>
                    <w:div w:id="493452321">
                      <w:marLeft w:val="0"/>
                      <w:marRight w:val="0"/>
                      <w:marTop w:val="0"/>
                      <w:marBottom w:val="0"/>
                      <w:divBdr>
                        <w:top w:val="none" w:sz="0" w:space="0" w:color="auto"/>
                        <w:left w:val="none" w:sz="0" w:space="0" w:color="auto"/>
                        <w:bottom w:val="none" w:sz="0" w:space="0" w:color="auto"/>
                        <w:right w:val="none" w:sz="0" w:space="0" w:color="auto"/>
                      </w:divBdr>
                    </w:div>
                  </w:divsChild>
                </w:div>
                <w:div w:id="1771197425">
                  <w:marLeft w:val="0"/>
                  <w:marRight w:val="0"/>
                  <w:marTop w:val="0"/>
                  <w:marBottom w:val="0"/>
                  <w:divBdr>
                    <w:top w:val="none" w:sz="0" w:space="0" w:color="auto"/>
                    <w:left w:val="none" w:sz="0" w:space="0" w:color="auto"/>
                    <w:bottom w:val="none" w:sz="0" w:space="0" w:color="auto"/>
                    <w:right w:val="none" w:sz="0" w:space="0" w:color="auto"/>
                  </w:divBdr>
                  <w:divsChild>
                    <w:div w:id="587622323">
                      <w:marLeft w:val="0"/>
                      <w:marRight w:val="0"/>
                      <w:marTop w:val="0"/>
                      <w:marBottom w:val="0"/>
                      <w:divBdr>
                        <w:top w:val="none" w:sz="0" w:space="0" w:color="auto"/>
                        <w:left w:val="none" w:sz="0" w:space="0" w:color="auto"/>
                        <w:bottom w:val="none" w:sz="0" w:space="0" w:color="auto"/>
                        <w:right w:val="none" w:sz="0" w:space="0" w:color="auto"/>
                      </w:divBdr>
                    </w:div>
                  </w:divsChild>
                </w:div>
                <w:div w:id="240136902">
                  <w:marLeft w:val="0"/>
                  <w:marRight w:val="0"/>
                  <w:marTop w:val="0"/>
                  <w:marBottom w:val="0"/>
                  <w:divBdr>
                    <w:top w:val="none" w:sz="0" w:space="0" w:color="auto"/>
                    <w:left w:val="none" w:sz="0" w:space="0" w:color="auto"/>
                    <w:bottom w:val="none" w:sz="0" w:space="0" w:color="auto"/>
                    <w:right w:val="none" w:sz="0" w:space="0" w:color="auto"/>
                  </w:divBdr>
                  <w:divsChild>
                    <w:div w:id="1956400190">
                      <w:marLeft w:val="0"/>
                      <w:marRight w:val="0"/>
                      <w:marTop w:val="0"/>
                      <w:marBottom w:val="0"/>
                      <w:divBdr>
                        <w:top w:val="none" w:sz="0" w:space="0" w:color="auto"/>
                        <w:left w:val="none" w:sz="0" w:space="0" w:color="auto"/>
                        <w:bottom w:val="none" w:sz="0" w:space="0" w:color="auto"/>
                        <w:right w:val="none" w:sz="0" w:space="0" w:color="auto"/>
                      </w:divBdr>
                    </w:div>
                  </w:divsChild>
                </w:div>
                <w:div w:id="1990010366">
                  <w:marLeft w:val="0"/>
                  <w:marRight w:val="0"/>
                  <w:marTop w:val="0"/>
                  <w:marBottom w:val="0"/>
                  <w:divBdr>
                    <w:top w:val="none" w:sz="0" w:space="0" w:color="auto"/>
                    <w:left w:val="none" w:sz="0" w:space="0" w:color="auto"/>
                    <w:bottom w:val="none" w:sz="0" w:space="0" w:color="auto"/>
                    <w:right w:val="none" w:sz="0" w:space="0" w:color="auto"/>
                  </w:divBdr>
                  <w:divsChild>
                    <w:div w:id="1691105220">
                      <w:marLeft w:val="0"/>
                      <w:marRight w:val="0"/>
                      <w:marTop w:val="0"/>
                      <w:marBottom w:val="0"/>
                      <w:divBdr>
                        <w:top w:val="none" w:sz="0" w:space="0" w:color="auto"/>
                        <w:left w:val="none" w:sz="0" w:space="0" w:color="auto"/>
                        <w:bottom w:val="none" w:sz="0" w:space="0" w:color="auto"/>
                        <w:right w:val="none" w:sz="0" w:space="0" w:color="auto"/>
                      </w:divBdr>
                    </w:div>
                  </w:divsChild>
                </w:div>
                <w:div w:id="119305284">
                  <w:marLeft w:val="0"/>
                  <w:marRight w:val="0"/>
                  <w:marTop w:val="0"/>
                  <w:marBottom w:val="0"/>
                  <w:divBdr>
                    <w:top w:val="none" w:sz="0" w:space="0" w:color="auto"/>
                    <w:left w:val="none" w:sz="0" w:space="0" w:color="auto"/>
                    <w:bottom w:val="none" w:sz="0" w:space="0" w:color="auto"/>
                    <w:right w:val="none" w:sz="0" w:space="0" w:color="auto"/>
                  </w:divBdr>
                  <w:divsChild>
                    <w:div w:id="160582545">
                      <w:marLeft w:val="0"/>
                      <w:marRight w:val="0"/>
                      <w:marTop w:val="0"/>
                      <w:marBottom w:val="0"/>
                      <w:divBdr>
                        <w:top w:val="none" w:sz="0" w:space="0" w:color="auto"/>
                        <w:left w:val="none" w:sz="0" w:space="0" w:color="auto"/>
                        <w:bottom w:val="none" w:sz="0" w:space="0" w:color="auto"/>
                        <w:right w:val="none" w:sz="0" w:space="0" w:color="auto"/>
                      </w:divBdr>
                    </w:div>
                  </w:divsChild>
                </w:div>
                <w:div w:id="1541162714">
                  <w:marLeft w:val="0"/>
                  <w:marRight w:val="0"/>
                  <w:marTop w:val="0"/>
                  <w:marBottom w:val="0"/>
                  <w:divBdr>
                    <w:top w:val="none" w:sz="0" w:space="0" w:color="auto"/>
                    <w:left w:val="none" w:sz="0" w:space="0" w:color="auto"/>
                    <w:bottom w:val="none" w:sz="0" w:space="0" w:color="auto"/>
                    <w:right w:val="none" w:sz="0" w:space="0" w:color="auto"/>
                  </w:divBdr>
                  <w:divsChild>
                    <w:div w:id="1823961528">
                      <w:marLeft w:val="0"/>
                      <w:marRight w:val="0"/>
                      <w:marTop w:val="0"/>
                      <w:marBottom w:val="0"/>
                      <w:divBdr>
                        <w:top w:val="none" w:sz="0" w:space="0" w:color="auto"/>
                        <w:left w:val="none" w:sz="0" w:space="0" w:color="auto"/>
                        <w:bottom w:val="none" w:sz="0" w:space="0" w:color="auto"/>
                        <w:right w:val="none" w:sz="0" w:space="0" w:color="auto"/>
                      </w:divBdr>
                    </w:div>
                  </w:divsChild>
                </w:div>
                <w:div w:id="1903444236">
                  <w:marLeft w:val="0"/>
                  <w:marRight w:val="0"/>
                  <w:marTop w:val="0"/>
                  <w:marBottom w:val="0"/>
                  <w:divBdr>
                    <w:top w:val="none" w:sz="0" w:space="0" w:color="auto"/>
                    <w:left w:val="none" w:sz="0" w:space="0" w:color="auto"/>
                    <w:bottom w:val="none" w:sz="0" w:space="0" w:color="auto"/>
                    <w:right w:val="none" w:sz="0" w:space="0" w:color="auto"/>
                  </w:divBdr>
                  <w:divsChild>
                    <w:div w:id="734624386">
                      <w:marLeft w:val="0"/>
                      <w:marRight w:val="0"/>
                      <w:marTop w:val="0"/>
                      <w:marBottom w:val="0"/>
                      <w:divBdr>
                        <w:top w:val="none" w:sz="0" w:space="0" w:color="auto"/>
                        <w:left w:val="none" w:sz="0" w:space="0" w:color="auto"/>
                        <w:bottom w:val="none" w:sz="0" w:space="0" w:color="auto"/>
                        <w:right w:val="none" w:sz="0" w:space="0" w:color="auto"/>
                      </w:divBdr>
                    </w:div>
                  </w:divsChild>
                </w:div>
                <w:div w:id="1318530935">
                  <w:marLeft w:val="0"/>
                  <w:marRight w:val="0"/>
                  <w:marTop w:val="0"/>
                  <w:marBottom w:val="0"/>
                  <w:divBdr>
                    <w:top w:val="none" w:sz="0" w:space="0" w:color="auto"/>
                    <w:left w:val="none" w:sz="0" w:space="0" w:color="auto"/>
                    <w:bottom w:val="none" w:sz="0" w:space="0" w:color="auto"/>
                    <w:right w:val="none" w:sz="0" w:space="0" w:color="auto"/>
                  </w:divBdr>
                  <w:divsChild>
                    <w:div w:id="174927137">
                      <w:marLeft w:val="0"/>
                      <w:marRight w:val="0"/>
                      <w:marTop w:val="0"/>
                      <w:marBottom w:val="0"/>
                      <w:divBdr>
                        <w:top w:val="none" w:sz="0" w:space="0" w:color="auto"/>
                        <w:left w:val="none" w:sz="0" w:space="0" w:color="auto"/>
                        <w:bottom w:val="none" w:sz="0" w:space="0" w:color="auto"/>
                        <w:right w:val="none" w:sz="0" w:space="0" w:color="auto"/>
                      </w:divBdr>
                    </w:div>
                  </w:divsChild>
                </w:div>
                <w:div w:id="990719435">
                  <w:marLeft w:val="0"/>
                  <w:marRight w:val="0"/>
                  <w:marTop w:val="0"/>
                  <w:marBottom w:val="0"/>
                  <w:divBdr>
                    <w:top w:val="none" w:sz="0" w:space="0" w:color="auto"/>
                    <w:left w:val="none" w:sz="0" w:space="0" w:color="auto"/>
                    <w:bottom w:val="none" w:sz="0" w:space="0" w:color="auto"/>
                    <w:right w:val="none" w:sz="0" w:space="0" w:color="auto"/>
                  </w:divBdr>
                  <w:divsChild>
                    <w:div w:id="17269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56690402">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3970045">
      <w:bodyDiv w:val="1"/>
      <w:marLeft w:val="0"/>
      <w:marRight w:val="0"/>
      <w:marTop w:val="0"/>
      <w:marBottom w:val="0"/>
      <w:divBdr>
        <w:top w:val="none" w:sz="0" w:space="0" w:color="auto"/>
        <w:left w:val="none" w:sz="0" w:space="0" w:color="auto"/>
        <w:bottom w:val="none" w:sz="0" w:space="0" w:color="auto"/>
        <w:right w:val="none" w:sz="0" w:space="0" w:color="auto"/>
      </w:divBdr>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5AIRPNAIUNRU-1328258698-11430</_dlc_DocId>
    <_dlc_DocIdUrl xmlns="71c5aaf6-e6ce-465b-b873-5148d2a4c105">
      <Url>https://nokia.sharepoint.com/sites/c5g/5gradio/_layouts/15/DocIdRedir.aspx?ID=5AIRPNAIUNRU-1328258698-11430</Url>
      <Description>5AIRPNAIUNRU-1328258698-11430</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2.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3.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5.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6.xml><?xml version="1.0" encoding="utf-8"?>
<ds:datastoreItem xmlns:ds="http://schemas.openxmlformats.org/officeDocument/2006/customXml" ds:itemID="{C219C064-FAB9-45E7-AB10-9203795F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585</Words>
  <Characters>3336</Characters>
  <Application>Microsoft Office Word</Application>
  <DocSecurity>0</DocSecurity>
  <Lines>27</Lines>
  <Paragraphs>7</Paragraphs>
  <ScaleCrop>false</ScaleCrop>
  <Company>ETSI-MCC</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8</cp:revision>
  <cp:lastPrinted>2013-03-23T00:57:00Z</cp:lastPrinted>
  <dcterms:created xsi:type="dcterms:W3CDTF">2022-04-14T06:36:00Z</dcterms:created>
  <dcterms:modified xsi:type="dcterms:W3CDTF">2022-04-25T17:12:00Z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1b38fcbc-016d-407d-9d6c-9dd98fec9398</vt:lpwstr>
  </property>
</Properties>
</file>